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0" w:rsidRDefault="008B2994" w:rsidP="00337DD0">
      <w:pPr>
        <w:tabs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 Hinweise für Vergabeverfahren</w:t>
      </w:r>
    </w:p>
    <w:p w:rsidR="00B30F3A" w:rsidRDefault="00B30F3A" w:rsidP="008B2994">
      <w:pPr>
        <w:tabs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:rsidR="008B2994" w:rsidRPr="008B2994" w:rsidRDefault="008B2994" w:rsidP="008B2994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8B2994" w:rsidRPr="008B2994" w:rsidRDefault="008B2994" w:rsidP="008B2994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dem</w:t>
      </w:r>
    </w:p>
    <w:p w:rsidR="008B2994" w:rsidRPr="008B2994" w:rsidRDefault="008B2994" w:rsidP="008B2994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8B2994">
        <w:rPr>
          <w:rFonts w:ascii="Arial" w:hAnsi="Arial" w:cs="Arial"/>
          <w:sz w:val="22"/>
          <w:szCs w:val="22"/>
        </w:rPr>
        <w:t>Hessische</w:t>
      </w:r>
      <w:r>
        <w:rPr>
          <w:rFonts w:ascii="Arial" w:hAnsi="Arial" w:cs="Arial"/>
          <w:sz w:val="22"/>
          <w:szCs w:val="22"/>
        </w:rPr>
        <w:t>n</w:t>
      </w:r>
      <w:r w:rsidRPr="008B2994">
        <w:rPr>
          <w:rFonts w:ascii="Arial" w:hAnsi="Arial" w:cs="Arial"/>
          <w:sz w:val="22"/>
          <w:szCs w:val="22"/>
        </w:rPr>
        <w:t xml:space="preserve"> Vergabe- und Tariftreuegesetz (HVTG)</w:t>
      </w:r>
    </w:p>
    <w:p w:rsidR="008B2994" w:rsidRPr="008B2994" w:rsidRDefault="008B2994" w:rsidP="008B2994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  <w:r w:rsidRPr="008B2994">
        <w:rPr>
          <w:rFonts w:ascii="Arial" w:hAnsi="Arial" w:cs="Arial"/>
          <w:sz w:val="22"/>
          <w:szCs w:val="22"/>
        </w:rPr>
        <w:t xml:space="preserve">vom </w:t>
      </w:r>
      <w:r w:rsidR="000E6A01">
        <w:rPr>
          <w:rFonts w:ascii="Arial" w:hAnsi="Arial" w:cs="Arial"/>
          <w:sz w:val="22"/>
          <w:szCs w:val="22"/>
        </w:rPr>
        <w:t>19.12</w:t>
      </w:r>
      <w:r w:rsidRPr="008B2994">
        <w:rPr>
          <w:rFonts w:ascii="Arial" w:hAnsi="Arial" w:cs="Arial"/>
          <w:sz w:val="22"/>
          <w:szCs w:val="22"/>
        </w:rPr>
        <w:t>.2014 (</w:t>
      </w:r>
      <w:proofErr w:type="spellStart"/>
      <w:r w:rsidRPr="008B2994">
        <w:rPr>
          <w:rFonts w:ascii="Arial" w:hAnsi="Arial" w:cs="Arial"/>
          <w:sz w:val="22"/>
          <w:szCs w:val="22"/>
        </w:rPr>
        <w:t>GVBl</w:t>
      </w:r>
      <w:proofErr w:type="spellEnd"/>
      <w:r w:rsidRPr="008B2994">
        <w:rPr>
          <w:rFonts w:ascii="Arial" w:hAnsi="Arial" w:cs="Arial"/>
          <w:sz w:val="22"/>
          <w:szCs w:val="22"/>
        </w:rPr>
        <w:t>. I, S. 354)</w:t>
      </w:r>
    </w:p>
    <w:p w:rsidR="00C324AB" w:rsidRDefault="00C324AB" w:rsidP="008B2994">
      <w:pPr>
        <w:tabs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:rsidR="00C324AB" w:rsidRPr="00C324AB" w:rsidRDefault="00C324AB" w:rsidP="008B2994">
      <w:pPr>
        <w:tabs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</w:p>
    <w:p w:rsidR="008B2994" w:rsidRDefault="008B2994" w:rsidP="008B2994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8C0C66" w:rsidRPr="00A67254" w:rsidRDefault="00AC35F0" w:rsidP="00A67254">
      <w:pPr>
        <w:tabs>
          <w:tab w:val="left" w:pos="567"/>
          <w:tab w:val="left" w:pos="694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ab/>
        <w:t>Verpflichtend abzugebende Erklärung</w:t>
      </w:r>
    </w:p>
    <w:p w:rsidR="008B2994" w:rsidRDefault="008B2994" w:rsidP="00212FA4">
      <w:pPr>
        <w:tabs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8B2994" w:rsidRPr="00212FA4" w:rsidRDefault="00EC10AF" w:rsidP="00D64195">
      <w:pPr>
        <w:pStyle w:val="Listenabsatz"/>
        <w:numPr>
          <w:ilvl w:val="0"/>
          <w:numId w:val="2"/>
        </w:numPr>
        <w:tabs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B2994">
        <w:rPr>
          <w:rFonts w:ascii="Arial" w:hAnsi="Arial" w:cs="Arial"/>
          <w:sz w:val="22"/>
          <w:szCs w:val="22"/>
          <w:u w:val="single"/>
        </w:rPr>
        <w:t>Verpflichtungserklärung</w:t>
      </w:r>
      <w:r w:rsidR="00693B23">
        <w:rPr>
          <w:rFonts w:ascii="Arial" w:hAnsi="Arial" w:cs="Arial"/>
          <w:sz w:val="22"/>
          <w:szCs w:val="22"/>
          <w:u w:val="single"/>
        </w:rPr>
        <w:t xml:space="preserve"> (§ 7 HVTG)</w:t>
      </w:r>
    </w:p>
    <w:p w:rsidR="00212FA4" w:rsidRDefault="00212FA4" w:rsidP="00212FA4">
      <w:pPr>
        <w:pStyle w:val="Listenabsatz"/>
        <w:tabs>
          <w:tab w:val="left" w:pos="694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15F4E" w:rsidRDefault="00215F4E" w:rsidP="00D64195">
      <w:pPr>
        <w:pStyle w:val="Listenabsatz"/>
        <w:tabs>
          <w:tab w:val="left" w:pos="6946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15F4E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„</w:t>
      </w:r>
      <w:r w:rsidRPr="00EC10AF">
        <w:rPr>
          <w:rFonts w:ascii="Arial" w:hAnsi="Arial" w:cs="Arial"/>
          <w:sz w:val="22"/>
          <w:szCs w:val="22"/>
        </w:rPr>
        <w:t>Verpflichtungserklärung zu Tariftreue und</w:t>
      </w:r>
      <w:r>
        <w:rPr>
          <w:rFonts w:ascii="Arial" w:hAnsi="Arial" w:cs="Arial"/>
          <w:sz w:val="22"/>
          <w:szCs w:val="22"/>
        </w:rPr>
        <w:t xml:space="preserve"> </w:t>
      </w:r>
      <w:r w:rsidRPr="00EC10AF">
        <w:rPr>
          <w:rFonts w:ascii="Arial" w:hAnsi="Arial" w:cs="Arial"/>
          <w:sz w:val="22"/>
          <w:szCs w:val="22"/>
        </w:rPr>
        <w:t>Mindestentgelt bei öffentlichen Auftr</w:t>
      </w:r>
      <w:r w:rsidRPr="00EC10AF">
        <w:rPr>
          <w:rFonts w:ascii="Arial" w:hAnsi="Arial" w:cs="Arial"/>
          <w:sz w:val="22"/>
          <w:szCs w:val="22"/>
        </w:rPr>
        <w:t>ä</w:t>
      </w:r>
      <w:r w:rsidRPr="00EC10AF">
        <w:rPr>
          <w:rFonts w:ascii="Arial" w:hAnsi="Arial" w:cs="Arial"/>
          <w:sz w:val="22"/>
          <w:szCs w:val="22"/>
        </w:rPr>
        <w:t xml:space="preserve">gen nach dem Hessischen Vergabe- und Tariftreuegesetz (HVTG) vom 19. Dezember 2014, </w:t>
      </w:r>
      <w:proofErr w:type="spellStart"/>
      <w:r w:rsidRPr="00EC10AF">
        <w:rPr>
          <w:rFonts w:ascii="Arial" w:hAnsi="Arial" w:cs="Arial"/>
          <w:sz w:val="22"/>
          <w:szCs w:val="22"/>
        </w:rPr>
        <w:t>GVBl</w:t>
      </w:r>
      <w:proofErr w:type="spellEnd"/>
      <w:r w:rsidRPr="00EC10AF">
        <w:rPr>
          <w:rFonts w:ascii="Arial" w:hAnsi="Arial" w:cs="Arial"/>
          <w:sz w:val="22"/>
          <w:szCs w:val="22"/>
        </w:rPr>
        <w:t xml:space="preserve">. S. </w:t>
      </w:r>
      <w:r>
        <w:rPr>
          <w:rFonts w:ascii="Arial" w:hAnsi="Arial" w:cs="Arial"/>
          <w:sz w:val="22"/>
          <w:szCs w:val="22"/>
        </w:rPr>
        <w:t xml:space="preserve">354“ </w:t>
      </w:r>
      <w:r w:rsidR="009710C7">
        <w:rPr>
          <w:rFonts w:ascii="Arial" w:hAnsi="Arial" w:cs="Arial"/>
          <w:sz w:val="22"/>
          <w:szCs w:val="22"/>
        </w:rPr>
        <w:t xml:space="preserve">bzw. die „Verpflichtungserklärung für öffentliche Aufträge über Verkehrsdienstleistungen im Personennahverkehr </w:t>
      </w:r>
      <w:r w:rsidR="009710C7" w:rsidRPr="00EC10AF">
        <w:rPr>
          <w:rFonts w:ascii="Arial" w:hAnsi="Arial" w:cs="Arial"/>
          <w:sz w:val="22"/>
          <w:szCs w:val="22"/>
        </w:rPr>
        <w:t xml:space="preserve">nach dem Hessischen Vergabe- und Tariftreuegesetz (HVTG) vom 19. Dezember 2014, </w:t>
      </w:r>
      <w:proofErr w:type="spellStart"/>
      <w:r w:rsidR="009710C7" w:rsidRPr="00EC10AF">
        <w:rPr>
          <w:rFonts w:ascii="Arial" w:hAnsi="Arial" w:cs="Arial"/>
          <w:sz w:val="22"/>
          <w:szCs w:val="22"/>
        </w:rPr>
        <w:t>GVBl</w:t>
      </w:r>
      <w:proofErr w:type="spellEnd"/>
      <w:r w:rsidR="009710C7" w:rsidRPr="00EC10AF">
        <w:rPr>
          <w:rFonts w:ascii="Arial" w:hAnsi="Arial" w:cs="Arial"/>
          <w:sz w:val="22"/>
          <w:szCs w:val="22"/>
        </w:rPr>
        <w:t xml:space="preserve">. S. </w:t>
      </w:r>
      <w:r w:rsidR="009710C7">
        <w:rPr>
          <w:rFonts w:ascii="Arial" w:hAnsi="Arial" w:cs="Arial"/>
          <w:sz w:val="22"/>
          <w:szCs w:val="22"/>
        </w:rPr>
        <w:t xml:space="preserve">354“ </w:t>
      </w:r>
      <w:r w:rsidRPr="00215F4E">
        <w:rPr>
          <w:rFonts w:ascii="Arial" w:hAnsi="Arial" w:cs="Arial"/>
          <w:sz w:val="22"/>
          <w:szCs w:val="22"/>
        </w:rPr>
        <w:t xml:space="preserve">ist immer </w:t>
      </w:r>
      <w:r w:rsidR="00F347AA">
        <w:rPr>
          <w:rFonts w:ascii="Arial" w:hAnsi="Arial" w:cs="Arial"/>
          <w:sz w:val="22"/>
          <w:szCs w:val="22"/>
        </w:rPr>
        <w:t>vom Bieter zu unterschreiben und mit dem Angebot einzureichen</w:t>
      </w:r>
      <w:r w:rsidRPr="00215F4E">
        <w:rPr>
          <w:rFonts w:ascii="Arial" w:hAnsi="Arial" w:cs="Arial"/>
          <w:sz w:val="22"/>
          <w:szCs w:val="22"/>
        </w:rPr>
        <w:t>, es sei denn, es liegt eine B</w:t>
      </w:r>
      <w:r w:rsidRPr="00215F4E">
        <w:rPr>
          <w:rFonts w:ascii="Arial" w:hAnsi="Arial" w:cs="Arial"/>
          <w:sz w:val="22"/>
          <w:szCs w:val="22"/>
        </w:rPr>
        <w:t>e</w:t>
      </w:r>
      <w:r w:rsidRPr="00215F4E">
        <w:rPr>
          <w:rFonts w:ascii="Arial" w:hAnsi="Arial" w:cs="Arial"/>
          <w:sz w:val="22"/>
          <w:szCs w:val="22"/>
        </w:rPr>
        <w:t>schaffung mit einem Auftragswert von unter 10.000 Euro (ohne Umsatzsteuer) vor und der Auftraggeber verzichtet nach pflichtgemäßem Ermessen auf die Erklärung (§ 1 Abs. 6 Satz 1 und 2 HVTG).</w:t>
      </w:r>
    </w:p>
    <w:p w:rsidR="00C24478" w:rsidRPr="00215F4E" w:rsidRDefault="00911AE3" w:rsidP="00C24478">
      <w:pPr>
        <w:pStyle w:val="Listenabsatz"/>
        <w:tabs>
          <w:tab w:val="left" w:pos="6946"/>
        </w:tabs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</w:t>
      </w:r>
      <w:r w:rsidR="0046283B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ffentliche Auftraggeber muss in der Bekanntmachung (soweit eine solche erfolgt) und den Vergabeunterlagen auf die Pflicht zur Abgabe der Verpflichtungserklärung hinweisen.</w:t>
      </w:r>
    </w:p>
    <w:p w:rsidR="00215F4E" w:rsidRPr="008B2994" w:rsidRDefault="00215F4E" w:rsidP="00D64195">
      <w:pPr>
        <w:pStyle w:val="Listenabsatz"/>
        <w:tabs>
          <w:tab w:val="left" w:pos="6946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215F4E" w:rsidRDefault="009710C7" w:rsidP="009710C7">
      <w:pPr>
        <w:pStyle w:val="Listenabsatz"/>
        <w:tabs>
          <w:tab w:val="left" w:pos="6946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öffentlichen Aufträgen über freigestellte Schülerverkehre ist</w:t>
      </w:r>
      <w:r w:rsidR="006438F6">
        <w:rPr>
          <w:rFonts w:ascii="Arial" w:hAnsi="Arial" w:cs="Arial"/>
          <w:sz w:val="22"/>
          <w:szCs w:val="22"/>
        </w:rPr>
        <w:t xml:space="preserve"> die</w:t>
      </w:r>
      <w:r>
        <w:rPr>
          <w:rFonts w:ascii="Arial" w:hAnsi="Arial" w:cs="Arial"/>
          <w:sz w:val="22"/>
          <w:szCs w:val="22"/>
        </w:rPr>
        <w:t xml:space="preserve"> „</w:t>
      </w:r>
      <w:bookmarkStart w:id="0" w:name="_GoBack"/>
      <w:r w:rsidRPr="00636C33">
        <w:rPr>
          <w:rFonts w:ascii="Arial" w:hAnsi="Arial" w:cs="Arial"/>
          <w:sz w:val="22"/>
          <w:szCs w:val="22"/>
        </w:rPr>
        <w:t>Verpflichtungse</w:t>
      </w:r>
      <w:r w:rsidRPr="00636C33">
        <w:rPr>
          <w:rFonts w:ascii="Arial" w:hAnsi="Arial" w:cs="Arial"/>
          <w:sz w:val="22"/>
          <w:szCs w:val="22"/>
        </w:rPr>
        <w:t>r</w:t>
      </w:r>
      <w:r w:rsidRPr="00636C33">
        <w:rPr>
          <w:rFonts w:ascii="Arial" w:hAnsi="Arial" w:cs="Arial"/>
          <w:sz w:val="22"/>
          <w:szCs w:val="22"/>
        </w:rPr>
        <w:t>klärung zu Tariftreue und Mindestentgelt bei öffentlichen Aufträgen“, nicht die „Ve</w:t>
      </w:r>
      <w:r w:rsidRPr="00636C33">
        <w:rPr>
          <w:rFonts w:ascii="Arial" w:hAnsi="Arial" w:cs="Arial"/>
          <w:sz w:val="22"/>
          <w:szCs w:val="22"/>
        </w:rPr>
        <w:t>r</w:t>
      </w:r>
      <w:r w:rsidRPr="00636C33">
        <w:rPr>
          <w:rFonts w:ascii="Arial" w:hAnsi="Arial" w:cs="Arial"/>
          <w:sz w:val="22"/>
          <w:szCs w:val="22"/>
        </w:rPr>
        <w:t>pflichtungserklärung für öffentliche Aufträge über Verkehrsdienstleist</w:t>
      </w:r>
      <w:bookmarkEnd w:id="0"/>
      <w:r w:rsidRPr="009710C7">
        <w:rPr>
          <w:rFonts w:ascii="Arial" w:hAnsi="Arial" w:cs="Arial"/>
          <w:sz w:val="22"/>
          <w:szCs w:val="22"/>
        </w:rPr>
        <w:t>ungen und freig</w:t>
      </w:r>
      <w:r w:rsidRPr="009710C7">
        <w:rPr>
          <w:rFonts w:ascii="Arial" w:hAnsi="Arial" w:cs="Arial"/>
          <w:sz w:val="22"/>
          <w:szCs w:val="22"/>
        </w:rPr>
        <w:t>e</w:t>
      </w:r>
      <w:r w:rsidRPr="009710C7">
        <w:rPr>
          <w:rFonts w:ascii="Arial" w:hAnsi="Arial" w:cs="Arial"/>
          <w:sz w:val="22"/>
          <w:szCs w:val="22"/>
        </w:rPr>
        <w:t>stellte Schülerverkehre im Personennahverkehr</w:t>
      </w:r>
      <w:r>
        <w:rPr>
          <w:rFonts w:ascii="Arial" w:hAnsi="Arial" w:cs="Arial"/>
          <w:sz w:val="22"/>
          <w:szCs w:val="22"/>
        </w:rPr>
        <w:t>“ zugrunde zu legen. Soweit sich § 4 Abs. 4 HVTG auf freigestellte Schülerverkehre bezieht, wird die Regelung nicht mehr angewandt (vgl. Beschluss der Vergabekammer Niedersachsen vom 15.05.2015 (</w:t>
      </w:r>
      <w:proofErr w:type="spellStart"/>
      <w:r>
        <w:rPr>
          <w:rFonts w:ascii="Arial" w:hAnsi="Arial" w:cs="Arial"/>
          <w:sz w:val="22"/>
          <w:szCs w:val="22"/>
        </w:rPr>
        <w:t>VgK</w:t>
      </w:r>
      <w:proofErr w:type="spellEnd"/>
      <w:r>
        <w:rPr>
          <w:rFonts w:ascii="Arial" w:hAnsi="Arial" w:cs="Arial"/>
          <w:sz w:val="22"/>
          <w:szCs w:val="22"/>
        </w:rPr>
        <w:t xml:space="preserve"> 009/2015). </w:t>
      </w:r>
    </w:p>
    <w:p w:rsidR="009710C7" w:rsidRPr="009710C7" w:rsidRDefault="009710C7" w:rsidP="009710C7">
      <w:pPr>
        <w:pStyle w:val="Listenabsatz"/>
        <w:tabs>
          <w:tab w:val="left" w:pos="6946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AC35F0" w:rsidRDefault="00AC35F0" w:rsidP="00A67254">
      <w:pPr>
        <w:pStyle w:val="Listenabsatz"/>
        <w:tabs>
          <w:tab w:val="left" w:pos="567"/>
          <w:tab w:val="left" w:pos="6946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A67254">
        <w:rPr>
          <w:rFonts w:ascii="Arial" w:hAnsi="Arial" w:cs="Arial"/>
          <w:b/>
          <w:sz w:val="22"/>
          <w:szCs w:val="22"/>
        </w:rPr>
        <w:t>II.</w:t>
      </w:r>
      <w:r>
        <w:rPr>
          <w:rFonts w:ascii="Arial" w:hAnsi="Arial" w:cs="Arial"/>
          <w:b/>
          <w:sz w:val="22"/>
          <w:szCs w:val="22"/>
        </w:rPr>
        <w:tab/>
        <w:t>Regelungen für die Bewerbungsbedingungen</w:t>
      </w:r>
    </w:p>
    <w:p w:rsidR="00AC35F0" w:rsidRDefault="00AC35F0" w:rsidP="00A67254">
      <w:pPr>
        <w:pStyle w:val="Listenabsatz"/>
        <w:tabs>
          <w:tab w:val="left" w:pos="567"/>
          <w:tab w:val="left" w:pos="6946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AC35F0" w:rsidRDefault="00AC35F0" w:rsidP="00A67254">
      <w:pPr>
        <w:pStyle w:val="Listenabsatz"/>
        <w:tabs>
          <w:tab w:val="left" w:pos="567"/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Als </w:t>
      </w:r>
      <w:r>
        <w:rPr>
          <w:rFonts w:ascii="Arial" w:hAnsi="Arial" w:cs="Arial"/>
          <w:b/>
          <w:sz w:val="22"/>
          <w:szCs w:val="22"/>
        </w:rPr>
        <w:t xml:space="preserve">Bewerbungsbedingung </w:t>
      </w:r>
      <w:r>
        <w:rPr>
          <w:rFonts w:ascii="Arial" w:hAnsi="Arial" w:cs="Arial"/>
          <w:sz w:val="22"/>
          <w:szCs w:val="22"/>
        </w:rPr>
        <w:t>ist die nachfolgende Nr. 1 aufzunehmen; die Nr. 2 und 3 können bei Bedarf aufgenommen werden.</w:t>
      </w:r>
    </w:p>
    <w:p w:rsidR="00AC35F0" w:rsidRDefault="00AC35F0" w:rsidP="00A67254">
      <w:pPr>
        <w:pStyle w:val="Listenabsatz"/>
        <w:tabs>
          <w:tab w:val="left" w:pos="567"/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AC35F0" w:rsidRDefault="00AC35F0" w:rsidP="00AC35F0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  <w:r w:rsidRPr="001D58D5">
        <w:rPr>
          <w:rFonts w:ascii="Arial" w:hAnsi="Arial" w:cs="Arial"/>
          <w:sz w:val="22"/>
          <w:szCs w:val="22"/>
        </w:rPr>
        <w:t>1.</w:t>
      </w:r>
      <w:r w:rsidRPr="001D58D5">
        <w:rPr>
          <w:rFonts w:ascii="Arial" w:hAnsi="Arial" w:cs="Arial"/>
          <w:sz w:val="22"/>
          <w:szCs w:val="22"/>
        </w:rPr>
        <w:tab/>
      </w:r>
      <w:r w:rsidRPr="0025731D">
        <w:rPr>
          <w:rFonts w:ascii="Arial" w:hAnsi="Arial" w:cs="Arial"/>
          <w:sz w:val="22"/>
          <w:szCs w:val="22"/>
          <w:u w:val="single"/>
        </w:rPr>
        <w:t>Bietergemeinschaften</w:t>
      </w:r>
      <w:r w:rsidR="00557A27">
        <w:rPr>
          <w:rFonts w:ascii="Arial" w:hAnsi="Arial" w:cs="Arial"/>
          <w:sz w:val="22"/>
          <w:szCs w:val="22"/>
          <w:u w:val="single"/>
        </w:rPr>
        <w:t xml:space="preserve"> (§ 12 Abs. 3 HVTG)</w:t>
      </w:r>
    </w:p>
    <w:p w:rsidR="00AC35F0" w:rsidRDefault="00AC35F0" w:rsidP="00AC35F0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AC35F0" w:rsidRDefault="00AC35F0" w:rsidP="00AC35F0">
      <w:pPr>
        <w:tabs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098B">
        <w:rPr>
          <w:rFonts w:ascii="Arial" w:hAnsi="Arial" w:cs="Arial"/>
          <w:sz w:val="22"/>
          <w:szCs w:val="22"/>
        </w:rPr>
        <w:t>„</w:t>
      </w:r>
      <w:r w:rsidRPr="00413C74">
        <w:rPr>
          <w:rFonts w:ascii="Arial" w:hAnsi="Arial" w:cs="Arial"/>
          <w:sz w:val="22"/>
          <w:szCs w:val="22"/>
        </w:rPr>
        <w:t>Bietergemeinschaften haben in den Angeboten die Mitglieder sowie eines ihrer Mi</w:t>
      </w:r>
      <w:r w:rsidRPr="00413C74">
        <w:rPr>
          <w:rFonts w:ascii="Arial" w:hAnsi="Arial" w:cs="Arial"/>
          <w:sz w:val="22"/>
          <w:szCs w:val="22"/>
        </w:rPr>
        <w:t>t</w:t>
      </w:r>
      <w:r w:rsidRPr="00413C74">
        <w:rPr>
          <w:rFonts w:ascii="Arial" w:hAnsi="Arial" w:cs="Arial"/>
          <w:sz w:val="22"/>
          <w:szCs w:val="22"/>
        </w:rPr>
        <w:t>glieder als bevollmächtigte Vertreterin oder bevollmächtigten Vertreter für den A</w:t>
      </w:r>
      <w:r w:rsidRPr="00413C74">
        <w:rPr>
          <w:rFonts w:ascii="Arial" w:hAnsi="Arial" w:cs="Arial"/>
          <w:sz w:val="22"/>
          <w:szCs w:val="22"/>
        </w:rPr>
        <w:t>b</w:t>
      </w:r>
      <w:r w:rsidRPr="00413C74">
        <w:rPr>
          <w:rFonts w:ascii="Arial" w:hAnsi="Arial" w:cs="Arial"/>
          <w:sz w:val="22"/>
          <w:szCs w:val="22"/>
        </w:rPr>
        <w:t>schluss und die Durchführung des Vertrages zu benennen. Fehlen diese Angaben im Angebot, sind sie vor dem Zuschlag beizubringen.</w:t>
      </w:r>
      <w:r w:rsidR="00D3098B">
        <w:rPr>
          <w:rFonts w:ascii="Arial" w:hAnsi="Arial" w:cs="Arial"/>
          <w:sz w:val="22"/>
          <w:szCs w:val="22"/>
        </w:rPr>
        <w:t>“</w:t>
      </w:r>
    </w:p>
    <w:p w:rsidR="00AC35F0" w:rsidRDefault="00AC35F0" w:rsidP="00AC35F0">
      <w:pPr>
        <w:tabs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40DE4" w:rsidRDefault="00AC35F0" w:rsidP="00640DE4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40DE4">
        <w:rPr>
          <w:rFonts w:ascii="Arial" w:hAnsi="Arial" w:cs="Arial"/>
          <w:sz w:val="22"/>
          <w:szCs w:val="22"/>
        </w:rPr>
        <w:t xml:space="preserve"> </w:t>
      </w:r>
      <w:r w:rsidR="00640DE4" w:rsidRPr="0025731D">
        <w:rPr>
          <w:rFonts w:ascii="Arial" w:hAnsi="Arial" w:cs="Arial"/>
          <w:sz w:val="22"/>
          <w:szCs w:val="22"/>
          <w:u w:val="single"/>
        </w:rPr>
        <w:t>Eignungsnachweise</w:t>
      </w:r>
      <w:r w:rsidR="000A33CC">
        <w:rPr>
          <w:rFonts w:ascii="Arial" w:hAnsi="Arial" w:cs="Arial"/>
          <w:sz w:val="22"/>
          <w:szCs w:val="22"/>
          <w:u w:val="single"/>
        </w:rPr>
        <w:t xml:space="preserve"> (§ 13 HVTG)</w:t>
      </w:r>
    </w:p>
    <w:p w:rsidR="00640DE4" w:rsidRDefault="00640DE4" w:rsidP="00640DE4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40DE4" w:rsidRDefault="00640DE4" w:rsidP="00640DE4">
      <w:pPr>
        <w:tabs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098B">
        <w:rPr>
          <w:rFonts w:ascii="Candida-Roman" w:hAnsi="Candida-Roman" w:cs="Candida-Roman"/>
          <w:sz w:val="18"/>
          <w:szCs w:val="18"/>
        </w:rPr>
        <w:t>„</w:t>
      </w:r>
      <w:r w:rsidRPr="00A71F7D">
        <w:rPr>
          <w:rFonts w:ascii="Arial" w:hAnsi="Arial" w:cs="Arial"/>
          <w:sz w:val="22"/>
          <w:szCs w:val="22"/>
        </w:rPr>
        <w:t>Eignungsnachweise der Unternehmen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dürfen nur gefordert werden, soweit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dies durch den Gegenstand des Auftrags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gerechtfertigt ist und sie in der Bekanntmachung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und den Vergabeunterlagen bezeichnet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sind. Eigenerklärungen sind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grundsätzlich ausre</w:t>
      </w:r>
      <w:r w:rsidRPr="00A71F7D">
        <w:rPr>
          <w:rFonts w:ascii="Arial" w:hAnsi="Arial" w:cs="Arial"/>
          <w:sz w:val="22"/>
          <w:szCs w:val="22"/>
        </w:rPr>
        <w:t>i</w:t>
      </w:r>
      <w:r w:rsidRPr="00A71F7D">
        <w:rPr>
          <w:rFonts w:ascii="Arial" w:hAnsi="Arial" w:cs="Arial"/>
          <w:sz w:val="22"/>
          <w:szCs w:val="22"/>
        </w:rPr>
        <w:t>chend. Eignungsnachweise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sind auf begründete Einzelfälle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zu beschränken; die Grü</w:t>
      </w:r>
      <w:r w:rsidRPr="00A71F7D">
        <w:rPr>
          <w:rFonts w:ascii="Arial" w:hAnsi="Arial" w:cs="Arial"/>
          <w:sz w:val="22"/>
          <w:szCs w:val="22"/>
        </w:rPr>
        <w:t>n</w:t>
      </w:r>
      <w:r w:rsidRPr="00A71F7D">
        <w:rPr>
          <w:rFonts w:ascii="Arial" w:hAnsi="Arial" w:cs="Arial"/>
          <w:sz w:val="22"/>
          <w:szCs w:val="22"/>
        </w:rPr>
        <w:t>de sind aktenkundig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zu machen. Die Nachweise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können in Textform erbracht werden. Die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Möglichkeit, vor Auftragserteilung in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Textform ausgestellte Nachweise von den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ausgewählten Bietern zu verlangen, kann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in den Vergabeunterlagen vorbehalten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we</w:t>
      </w:r>
      <w:r w:rsidRPr="00A71F7D">
        <w:rPr>
          <w:rFonts w:ascii="Arial" w:hAnsi="Arial" w:cs="Arial"/>
          <w:sz w:val="22"/>
          <w:szCs w:val="22"/>
        </w:rPr>
        <w:t>r</w:t>
      </w:r>
      <w:r w:rsidRPr="00A71F7D">
        <w:rPr>
          <w:rFonts w:ascii="Arial" w:hAnsi="Arial" w:cs="Arial"/>
          <w:sz w:val="22"/>
          <w:szCs w:val="22"/>
        </w:rPr>
        <w:t>den, soweit sie im Einzelnen benannt</w:t>
      </w:r>
      <w:r>
        <w:rPr>
          <w:rFonts w:ascii="Arial" w:hAnsi="Arial" w:cs="Arial"/>
          <w:sz w:val="22"/>
          <w:szCs w:val="22"/>
        </w:rPr>
        <w:t xml:space="preserve"> </w:t>
      </w:r>
      <w:r w:rsidRPr="00A71F7D">
        <w:rPr>
          <w:rFonts w:ascii="Arial" w:hAnsi="Arial" w:cs="Arial"/>
          <w:sz w:val="22"/>
          <w:szCs w:val="22"/>
        </w:rPr>
        <w:t>sind.</w:t>
      </w:r>
      <w:r w:rsidR="00D3098B">
        <w:rPr>
          <w:rFonts w:ascii="Arial" w:hAnsi="Arial" w:cs="Arial"/>
          <w:sz w:val="22"/>
          <w:szCs w:val="22"/>
        </w:rPr>
        <w:t>“</w:t>
      </w:r>
    </w:p>
    <w:p w:rsidR="00640DE4" w:rsidRDefault="00640DE4" w:rsidP="00640DE4">
      <w:pPr>
        <w:tabs>
          <w:tab w:val="left" w:pos="6946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40DE4" w:rsidRDefault="00640DE4" w:rsidP="00640DE4">
      <w:pPr>
        <w:tabs>
          <w:tab w:val="left" w:pos="567"/>
          <w:tab w:val="left" w:pos="6946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25731D">
        <w:rPr>
          <w:rFonts w:ascii="Arial" w:hAnsi="Arial" w:cs="Arial"/>
          <w:sz w:val="22"/>
          <w:szCs w:val="22"/>
          <w:u w:val="single"/>
        </w:rPr>
        <w:t>Urkalkulation</w:t>
      </w:r>
      <w:r w:rsidR="00557A27">
        <w:rPr>
          <w:rFonts w:ascii="Arial" w:hAnsi="Arial" w:cs="Arial"/>
          <w:sz w:val="22"/>
          <w:szCs w:val="22"/>
          <w:u w:val="single"/>
        </w:rPr>
        <w:t xml:space="preserve"> </w:t>
      </w:r>
      <w:r w:rsidR="000A33CC">
        <w:rPr>
          <w:rFonts w:ascii="Arial" w:hAnsi="Arial" w:cs="Arial"/>
          <w:sz w:val="22"/>
          <w:szCs w:val="22"/>
          <w:u w:val="single"/>
        </w:rPr>
        <w:t>(§ 16 HVTG)</w:t>
      </w:r>
    </w:p>
    <w:p w:rsidR="00640DE4" w:rsidRPr="00413C74" w:rsidRDefault="00640DE4" w:rsidP="00640DE4">
      <w:pPr>
        <w:tabs>
          <w:tab w:val="left" w:pos="567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p w:rsidR="00640DE4" w:rsidRDefault="00640DE4" w:rsidP="00640DE4">
      <w:pPr>
        <w:tabs>
          <w:tab w:val="left" w:pos="6946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  <w:t xml:space="preserve">Unabhängig von dem in § 16 Abs. 1 HVTG geregelten Fall, in dem Bieter </w:t>
      </w:r>
      <w:r w:rsidR="000D19C0">
        <w:rPr>
          <w:rFonts w:ascii="Arial" w:hAnsi="Arial" w:cs="Arial"/>
          <w:sz w:val="22"/>
          <w:szCs w:val="22"/>
        </w:rPr>
        <w:t>nach Auffo</w:t>
      </w:r>
      <w:r w:rsidR="000D19C0">
        <w:rPr>
          <w:rFonts w:ascii="Arial" w:hAnsi="Arial" w:cs="Arial"/>
          <w:sz w:val="22"/>
          <w:szCs w:val="22"/>
        </w:rPr>
        <w:t>r</w:t>
      </w:r>
      <w:r w:rsidR="000D19C0">
        <w:rPr>
          <w:rFonts w:ascii="Arial" w:hAnsi="Arial" w:cs="Arial"/>
          <w:sz w:val="22"/>
          <w:szCs w:val="22"/>
        </w:rPr>
        <w:t>derung</w:t>
      </w:r>
      <w:r w:rsidR="00360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zwingend ihre Urkalkulation einreichen müssen, kann der Auftraggeber von Bietern nach § 16 Abs. 2 HVTG die Urkalkulation in einem gesonderten Umschlag vor Auftragsvergabe verlangen. Er trifft dann vertraglich folgende Regelung:</w:t>
      </w:r>
    </w:p>
    <w:p w:rsidR="00640DE4" w:rsidRDefault="00D3098B" w:rsidP="00D3098B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640DE4" w:rsidRPr="00247A31">
        <w:rPr>
          <w:rFonts w:ascii="Arial" w:hAnsi="Arial" w:cs="Arial"/>
          <w:sz w:val="22"/>
          <w:szCs w:val="22"/>
        </w:rPr>
        <w:t>Die Urkalkulation ist in einem gesonderten verschlossenen Umschlag vor Auftrag</w:t>
      </w:r>
      <w:r w:rsidR="00640DE4" w:rsidRPr="00247A31">
        <w:rPr>
          <w:rFonts w:ascii="Arial" w:hAnsi="Arial" w:cs="Arial"/>
          <w:sz w:val="22"/>
          <w:szCs w:val="22"/>
        </w:rPr>
        <w:t>s</w:t>
      </w:r>
      <w:r w:rsidR="00640DE4" w:rsidRPr="00247A31">
        <w:rPr>
          <w:rFonts w:ascii="Arial" w:hAnsi="Arial" w:cs="Arial"/>
          <w:sz w:val="22"/>
          <w:szCs w:val="22"/>
        </w:rPr>
        <w:t>vergabe (Zuschlag) einzureichen. Der Umschlag mit der Urkalkulation kann bei einem Nachtrag oder einer Mehrforderung im Rahmen eines abgeschlossenen Vertrags zur Prüfung der Grundlagen der Preise geöffnet werden.</w:t>
      </w:r>
      <w:r w:rsidR="00640DE4" w:rsidRPr="006632A2">
        <w:t xml:space="preserve"> </w:t>
      </w:r>
      <w:r w:rsidR="00640DE4" w:rsidRPr="00247A31">
        <w:rPr>
          <w:rFonts w:ascii="Arial" w:hAnsi="Arial" w:cs="Arial"/>
          <w:sz w:val="22"/>
          <w:szCs w:val="22"/>
        </w:rPr>
        <w:t>Dieser Umschlag darf nur in A</w:t>
      </w:r>
      <w:r w:rsidR="00640DE4" w:rsidRPr="00247A31">
        <w:rPr>
          <w:rFonts w:ascii="Arial" w:hAnsi="Arial" w:cs="Arial"/>
          <w:sz w:val="22"/>
          <w:szCs w:val="22"/>
        </w:rPr>
        <w:t>n</w:t>
      </w:r>
      <w:r w:rsidR="00640DE4" w:rsidRPr="00247A31">
        <w:rPr>
          <w:rFonts w:ascii="Arial" w:hAnsi="Arial" w:cs="Arial"/>
          <w:sz w:val="22"/>
          <w:szCs w:val="22"/>
        </w:rPr>
        <w:t>wesenheit des Auftragnehmers geöffnet werden. Der Auftragnehmer kann einen B</w:t>
      </w:r>
      <w:r w:rsidR="00640DE4" w:rsidRPr="00247A31">
        <w:rPr>
          <w:rFonts w:ascii="Arial" w:hAnsi="Arial" w:cs="Arial"/>
          <w:sz w:val="22"/>
          <w:szCs w:val="22"/>
        </w:rPr>
        <w:t>e</w:t>
      </w:r>
      <w:r w:rsidR="00640DE4" w:rsidRPr="00247A31">
        <w:rPr>
          <w:rFonts w:ascii="Arial" w:hAnsi="Arial" w:cs="Arial"/>
          <w:sz w:val="22"/>
          <w:szCs w:val="22"/>
        </w:rPr>
        <w:t>auftragten bestimmen, der an der Öffnung und Prüfung der Grundlagen der Preise ve</w:t>
      </w:r>
      <w:r w:rsidR="00640DE4" w:rsidRPr="00247A31">
        <w:rPr>
          <w:rFonts w:ascii="Arial" w:hAnsi="Arial" w:cs="Arial"/>
          <w:sz w:val="22"/>
          <w:szCs w:val="22"/>
        </w:rPr>
        <w:t>r</w:t>
      </w:r>
      <w:r w:rsidR="00640DE4" w:rsidRPr="00247A31">
        <w:rPr>
          <w:rFonts w:ascii="Arial" w:hAnsi="Arial" w:cs="Arial"/>
          <w:sz w:val="22"/>
          <w:szCs w:val="22"/>
        </w:rPr>
        <w:t>tretungsberechtigt teilnimmt.</w:t>
      </w:r>
      <w:r w:rsidR="00640DE4">
        <w:rPr>
          <w:rFonts w:ascii="Arial" w:hAnsi="Arial" w:cs="Arial"/>
          <w:sz w:val="22"/>
          <w:szCs w:val="22"/>
        </w:rPr>
        <w:t xml:space="preserve"> </w:t>
      </w:r>
      <w:r w:rsidR="00640DE4" w:rsidRPr="00247A31">
        <w:rPr>
          <w:rFonts w:ascii="Arial" w:hAnsi="Arial" w:cs="Arial"/>
          <w:sz w:val="22"/>
          <w:szCs w:val="22"/>
        </w:rPr>
        <w:t>Die Daten sind vertraulich zu behandeln und danach wi</w:t>
      </w:r>
      <w:r w:rsidR="00640DE4" w:rsidRPr="00247A31">
        <w:rPr>
          <w:rFonts w:ascii="Arial" w:hAnsi="Arial" w:cs="Arial"/>
          <w:sz w:val="22"/>
          <w:szCs w:val="22"/>
        </w:rPr>
        <w:t>e</w:t>
      </w:r>
      <w:r w:rsidR="00640DE4" w:rsidRPr="00247A31">
        <w:rPr>
          <w:rFonts w:ascii="Arial" w:hAnsi="Arial" w:cs="Arial"/>
          <w:sz w:val="22"/>
          <w:szCs w:val="22"/>
        </w:rPr>
        <w:t>der verschlossen zu den Vertragsunterlagen zu nehmen.</w:t>
      </w:r>
      <w:r>
        <w:rPr>
          <w:rFonts w:ascii="Arial" w:hAnsi="Arial" w:cs="Arial"/>
          <w:sz w:val="22"/>
          <w:szCs w:val="22"/>
        </w:rPr>
        <w:t>“</w:t>
      </w:r>
    </w:p>
    <w:p w:rsidR="00640DE4" w:rsidRDefault="00640DE4" w:rsidP="00640DE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40DE4" w:rsidRDefault="00640DE4" w:rsidP="00640DE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640DE4" w:rsidRDefault="00640DE4" w:rsidP="00A6725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  <w:r>
        <w:rPr>
          <w:rFonts w:ascii="Arial" w:hAnsi="Arial" w:cs="Arial"/>
          <w:b/>
          <w:sz w:val="22"/>
          <w:szCs w:val="22"/>
        </w:rPr>
        <w:tab/>
        <w:t xml:space="preserve">Regelungen </w:t>
      </w:r>
      <w:r w:rsidR="00BB447F">
        <w:rPr>
          <w:rFonts w:ascii="Arial" w:hAnsi="Arial" w:cs="Arial"/>
          <w:b/>
          <w:sz w:val="22"/>
          <w:szCs w:val="22"/>
        </w:rPr>
        <w:t xml:space="preserve">für die </w:t>
      </w:r>
      <w:r>
        <w:rPr>
          <w:rFonts w:ascii="Arial" w:hAnsi="Arial" w:cs="Arial"/>
          <w:b/>
          <w:sz w:val="22"/>
          <w:szCs w:val="22"/>
        </w:rPr>
        <w:t>Angebotsunterlagen</w:t>
      </w:r>
    </w:p>
    <w:p w:rsidR="00640DE4" w:rsidRDefault="00640DE4" w:rsidP="00A6725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640DE4" w:rsidRPr="00A67254" w:rsidRDefault="00640DE4" w:rsidP="00A67254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</w:t>
      </w:r>
      <w:r w:rsidRPr="00640DE4">
        <w:rPr>
          <w:rFonts w:ascii="Arial" w:hAnsi="Arial" w:cs="Arial"/>
          <w:sz w:val="22"/>
          <w:szCs w:val="22"/>
        </w:rPr>
        <w:t>Erstellung der</w:t>
      </w:r>
      <w:r w:rsidRPr="00A67254">
        <w:rPr>
          <w:rFonts w:ascii="Arial" w:hAnsi="Arial" w:cs="Arial"/>
          <w:b/>
          <w:sz w:val="22"/>
          <w:szCs w:val="22"/>
        </w:rPr>
        <w:t xml:space="preserve"> Angebotsunterlagen</w:t>
      </w:r>
      <w:r>
        <w:rPr>
          <w:rFonts w:ascii="Arial" w:hAnsi="Arial" w:cs="Arial"/>
          <w:sz w:val="22"/>
          <w:szCs w:val="22"/>
        </w:rPr>
        <w:t xml:space="preserve"> ist Folgendes nach dem HVTG zu beac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ten, wobei der öffentliche Auftraggeber eigenverantwortlich entscheidet, wie die Ergä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zung erfolgt (eigene Gliederungspunkte etc.).</w:t>
      </w:r>
    </w:p>
    <w:p w:rsidR="00AC35F0" w:rsidRPr="00A67254" w:rsidRDefault="00AC35F0" w:rsidP="00A67254">
      <w:pPr>
        <w:pStyle w:val="Listenabsatz"/>
        <w:tabs>
          <w:tab w:val="left" w:pos="567"/>
          <w:tab w:val="left" w:pos="6946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:rsidR="00215F4E" w:rsidRDefault="00640DE4" w:rsidP="00640DE4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15F4E">
        <w:rPr>
          <w:rFonts w:ascii="Arial" w:hAnsi="Arial" w:cs="Arial"/>
          <w:sz w:val="22"/>
          <w:szCs w:val="22"/>
        </w:rPr>
        <w:t>.</w:t>
      </w:r>
      <w:r w:rsidR="00215F4E">
        <w:rPr>
          <w:rFonts w:ascii="Arial" w:hAnsi="Arial" w:cs="Arial"/>
          <w:sz w:val="22"/>
          <w:szCs w:val="22"/>
        </w:rPr>
        <w:tab/>
      </w:r>
      <w:r w:rsidR="00215F4E" w:rsidRPr="00215F4E">
        <w:rPr>
          <w:rFonts w:ascii="Arial" w:hAnsi="Arial" w:cs="Arial"/>
          <w:sz w:val="22"/>
          <w:szCs w:val="22"/>
          <w:u w:val="single"/>
        </w:rPr>
        <w:t>Nachweise und Kontrollen</w:t>
      </w:r>
      <w:r w:rsidR="00AD7DC8">
        <w:rPr>
          <w:rFonts w:ascii="Arial" w:hAnsi="Arial" w:cs="Arial"/>
          <w:sz w:val="22"/>
          <w:szCs w:val="22"/>
          <w:u w:val="single"/>
        </w:rPr>
        <w:t xml:space="preserve"> (§ 9 HVTG)</w:t>
      </w:r>
    </w:p>
    <w:p w:rsidR="00215F4E" w:rsidRDefault="00215F4E" w:rsidP="00640DE4">
      <w:pPr>
        <w:pStyle w:val="Listenabsatz"/>
        <w:tabs>
          <w:tab w:val="left" w:pos="426"/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64195" w:rsidRDefault="00640DE4" w:rsidP="00640DE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64195">
        <w:rPr>
          <w:rFonts w:ascii="Arial" w:hAnsi="Arial" w:cs="Arial"/>
          <w:sz w:val="22"/>
          <w:szCs w:val="22"/>
        </w:rPr>
        <w:t>.1</w:t>
      </w:r>
      <w:r w:rsidR="00D64195">
        <w:rPr>
          <w:rFonts w:ascii="Arial" w:hAnsi="Arial" w:cs="Arial"/>
          <w:sz w:val="22"/>
          <w:szCs w:val="22"/>
        </w:rPr>
        <w:tab/>
      </w:r>
      <w:r w:rsidR="00A56C02">
        <w:rPr>
          <w:rFonts w:ascii="Arial" w:hAnsi="Arial" w:cs="Arial"/>
          <w:sz w:val="22"/>
          <w:szCs w:val="22"/>
        </w:rPr>
        <w:t>„</w:t>
      </w:r>
      <w:r w:rsidR="00D64195" w:rsidRPr="00586EDC">
        <w:rPr>
          <w:rFonts w:ascii="Arial" w:hAnsi="Arial" w:cs="Arial"/>
          <w:sz w:val="22"/>
          <w:szCs w:val="22"/>
        </w:rPr>
        <w:t>Der Auftragnehmer sowie dessen Nachunternehmen und/oder Verleihunternehmen sind verpflichtet, dem Auftraggeber die Einhaltung der Verpflichtung</w:t>
      </w:r>
      <w:r w:rsidR="00D64195">
        <w:rPr>
          <w:rFonts w:ascii="Arial" w:hAnsi="Arial" w:cs="Arial"/>
          <w:sz w:val="22"/>
          <w:szCs w:val="22"/>
        </w:rPr>
        <w:t>en</w:t>
      </w:r>
      <w:r w:rsidR="00D64195" w:rsidRPr="00586EDC">
        <w:rPr>
          <w:rFonts w:ascii="Arial" w:hAnsi="Arial" w:cs="Arial"/>
          <w:sz w:val="22"/>
          <w:szCs w:val="22"/>
        </w:rPr>
        <w:t xml:space="preserve"> nach den §§</w:t>
      </w:r>
      <w:r w:rsidR="00D64195">
        <w:rPr>
          <w:rFonts w:ascii="Arial" w:hAnsi="Arial" w:cs="Arial"/>
          <w:sz w:val="22"/>
          <w:szCs w:val="22"/>
        </w:rPr>
        <w:t> </w:t>
      </w:r>
      <w:r w:rsidR="00D64195" w:rsidRPr="00586EDC">
        <w:rPr>
          <w:rFonts w:ascii="Arial" w:hAnsi="Arial" w:cs="Arial"/>
          <w:sz w:val="22"/>
          <w:szCs w:val="22"/>
        </w:rPr>
        <w:t>4 (Tariftreuepflicht) und</w:t>
      </w:r>
      <w:r w:rsidR="00D64195">
        <w:rPr>
          <w:rFonts w:ascii="Arial" w:hAnsi="Arial" w:cs="Arial"/>
          <w:sz w:val="22"/>
          <w:szCs w:val="22"/>
        </w:rPr>
        <w:t> </w:t>
      </w:r>
      <w:r w:rsidR="00D64195" w:rsidRPr="00586EDC">
        <w:rPr>
          <w:rFonts w:ascii="Arial" w:hAnsi="Arial" w:cs="Arial"/>
          <w:sz w:val="22"/>
          <w:szCs w:val="22"/>
        </w:rPr>
        <w:t xml:space="preserve">6 (Mindestentgelt) </w:t>
      </w:r>
      <w:r w:rsidR="00D64195">
        <w:rPr>
          <w:rFonts w:ascii="Arial" w:hAnsi="Arial" w:cs="Arial"/>
          <w:sz w:val="22"/>
          <w:szCs w:val="22"/>
        </w:rPr>
        <w:t xml:space="preserve">HVTG </w:t>
      </w:r>
      <w:r w:rsidR="00D64195" w:rsidRPr="00586EDC">
        <w:rPr>
          <w:rFonts w:ascii="Arial" w:hAnsi="Arial" w:cs="Arial"/>
          <w:sz w:val="22"/>
          <w:szCs w:val="22"/>
        </w:rPr>
        <w:t>auf dessen Verlangen jederzeit nac</w:t>
      </w:r>
      <w:r w:rsidR="00D64195" w:rsidRPr="00586EDC">
        <w:rPr>
          <w:rFonts w:ascii="Arial" w:hAnsi="Arial" w:cs="Arial"/>
          <w:sz w:val="22"/>
          <w:szCs w:val="22"/>
        </w:rPr>
        <w:t>h</w:t>
      </w:r>
      <w:r w:rsidR="00D64195" w:rsidRPr="00586EDC">
        <w:rPr>
          <w:rFonts w:ascii="Arial" w:hAnsi="Arial" w:cs="Arial"/>
          <w:sz w:val="22"/>
          <w:szCs w:val="22"/>
        </w:rPr>
        <w:t>zuweisen. Der Auftraggeber darf zu diesem Zweck angekündigt oder unangekündigt in erforderlichem Umfang anlassbezogen Einsicht in die Entgeltabrechnungen und and</w:t>
      </w:r>
      <w:r w:rsidR="00D64195" w:rsidRPr="00586EDC">
        <w:rPr>
          <w:rFonts w:ascii="Arial" w:hAnsi="Arial" w:cs="Arial"/>
          <w:sz w:val="22"/>
          <w:szCs w:val="22"/>
        </w:rPr>
        <w:t>e</w:t>
      </w:r>
      <w:r w:rsidR="00D64195" w:rsidRPr="00586EDC">
        <w:rPr>
          <w:rFonts w:ascii="Arial" w:hAnsi="Arial" w:cs="Arial"/>
          <w:sz w:val="22"/>
          <w:szCs w:val="22"/>
        </w:rPr>
        <w:t>ren Geschäftsunterlagen des Auftragnehmers sowie aller weiteren Nachunternehmen und Verleihunternehmen nehmen, aus denen Umfang, Art und Dauer von Beschäft</w:t>
      </w:r>
      <w:r w:rsidR="00D64195" w:rsidRPr="00586EDC">
        <w:rPr>
          <w:rFonts w:ascii="Arial" w:hAnsi="Arial" w:cs="Arial"/>
          <w:sz w:val="22"/>
          <w:szCs w:val="22"/>
        </w:rPr>
        <w:t>i</w:t>
      </w:r>
      <w:r w:rsidR="00D64195" w:rsidRPr="00586EDC">
        <w:rPr>
          <w:rFonts w:ascii="Arial" w:hAnsi="Arial" w:cs="Arial"/>
          <w:sz w:val="22"/>
          <w:szCs w:val="22"/>
        </w:rPr>
        <w:t>gungsverhältnisse</w:t>
      </w:r>
      <w:r w:rsidR="00CE5FFE">
        <w:rPr>
          <w:rFonts w:ascii="Arial" w:hAnsi="Arial" w:cs="Arial"/>
          <w:sz w:val="22"/>
          <w:szCs w:val="22"/>
        </w:rPr>
        <w:t>n</w:t>
      </w:r>
      <w:r w:rsidR="00D64195" w:rsidRPr="00586EDC">
        <w:rPr>
          <w:rFonts w:ascii="Arial" w:hAnsi="Arial" w:cs="Arial"/>
          <w:sz w:val="22"/>
          <w:szCs w:val="22"/>
        </w:rPr>
        <w:t xml:space="preserve"> sowie die tatsächliche Entlohnung von Beschäftigten hervorgehen oder abgeleitet werden können. Der Auftraggeber kann hierzu auch Auskunft verla</w:t>
      </w:r>
      <w:r w:rsidR="00D64195" w:rsidRPr="00586EDC">
        <w:rPr>
          <w:rFonts w:ascii="Arial" w:hAnsi="Arial" w:cs="Arial"/>
          <w:sz w:val="22"/>
          <w:szCs w:val="22"/>
        </w:rPr>
        <w:t>n</w:t>
      </w:r>
      <w:r w:rsidR="00D64195" w:rsidRPr="00586EDC">
        <w:rPr>
          <w:rFonts w:ascii="Arial" w:hAnsi="Arial" w:cs="Arial"/>
          <w:sz w:val="22"/>
          <w:szCs w:val="22"/>
        </w:rPr>
        <w:t>gen. Der Auftragnehmer sowie alle Nachunternehmen und Verleihunternehmen haben ihre Beschäftigten auf die Möglichkeit solcher Kontrollen hinzuweisen. Der Auftra</w:t>
      </w:r>
      <w:r w:rsidR="00D64195" w:rsidRPr="00586EDC">
        <w:rPr>
          <w:rFonts w:ascii="Arial" w:hAnsi="Arial" w:cs="Arial"/>
          <w:sz w:val="22"/>
          <w:szCs w:val="22"/>
        </w:rPr>
        <w:t>g</w:t>
      </w:r>
      <w:r w:rsidR="00D64195" w:rsidRPr="00586EDC">
        <w:rPr>
          <w:rFonts w:ascii="Arial" w:hAnsi="Arial" w:cs="Arial"/>
          <w:sz w:val="22"/>
          <w:szCs w:val="22"/>
        </w:rPr>
        <w:t>nehmer ist verpflichtet, bei Beauftragung von Nachunternehmen und/oder Verleihu</w:t>
      </w:r>
      <w:r w:rsidR="00D64195" w:rsidRPr="00586EDC">
        <w:rPr>
          <w:rFonts w:ascii="Arial" w:hAnsi="Arial" w:cs="Arial"/>
          <w:sz w:val="22"/>
          <w:szCs w:val="22"/>
        </w:rPr>
        <w:t>n</w:t>
      </w:r>
      <w:r w:rsidR="00D64195" w:rsidRPr="00586EDC">
        <w:rPr>
          <w:rFonts w:ascii="Arial" w:hAnsi="Arial" w:cs="Arial"/>
          <w:sz w:val="22"/>
          <w:szCs w:val="22"/>
        </w:rPr>
        <w:t>ternehmen, mit diesen zu vereinbaren, dass das vorstehende Auskunfts- und Pr</w:t>
      </w:r>
      <w:r w:rsidR="00D64195" w:rsidRPr="00586EDC">
        <w:rPr>
          <w:rFonts w:ascii="Arial" w:hAnsi="Arial" w:cs="Arial"/>
          <w:sz w:val="22"/>
          <w:szCs w:val="22"/>
        </w:rPr>
        <w:t>ü</w:t>
      </w:r>
      <w:r w:rsidR="00D64195" w:rsidRPr="00586EDC">
        <w:rPr>
          <w:rFonts w:ascii="Arial" w:hAnsi="Arial" w:cs="Arial"/>
          <w:sz w:val="22"/>
          <w:szCs w:val="22"/>
        </w:rPr>
        <w:t>fungsrecht des Auftraggebers auch ihnen gegenüber gilt.</w:t>
      </w:r>
    </w:p>
    <w:p w:rsidR="00D64195" w:rsidRDefault="00640DE4" w:rsidP="00D6419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64195" w:rsidRPr="00584A9D">
        <w:rPr>
          <w:rFonts w:ascii="Arial" w:hAnsi="Arial" w:cs="Arial"/>
          <w:sz w:val="22"/>
          <w:szCs w:val="22"/>
        </w:rPr>
        <w:t xml:space="preserve">.2 </w:t>
      </w:r>
      <w:r w:rsidR="00D64195" w:rsidRPr="00584A9D">
        <w:rPr>
          <w:rFonts w:ascii="Arial" w:hAnsi="Arial" w:cs="Arial"/>
          <w:sz w:val="22"/>
          <w:szCs w:val="22"/>
        </w:rPr>
        <w:tab/>
        <w:t>Die Auftragnehmer sowie alle Nachunternehmen und Verleihunternehmen haben vol</w:t>
      </w:r>
      <w:r w:rsidR="00D64195" w:rsidRPr="00584A9D">
        <w:rPr>
          <w:rFonts w:ascii="Arial" w:hAnsi="Arial" w:cs="Arial"/>
          <w:sz w:val="22"/>
          <w:szCs w:val="22"/>
        </w:rPr>
        <w:t>l</w:t>
      </w:r>
      <w:r w:rsidR="00D64195" w:rsidRPr="00584A9D">
        <w:rPr>
          <w:rFonts w:ascii="Arial" w:hAnsi="Arial" w:cs="Arial"/>
          <w:sz w:val="22"/>
          <w:szCs w:val="22"/>
        </w:rPr>
        <w:t>ständige und prü</w:t>
      </w:r>
      <w:r w:rsidR="00D64195">
        <w:rPr>
          <w:rFonts w:ascii="Arial" w:hAnsi="Arial" w:cs="Arial"/>
          <w:sz w:val="22"/>
          <w:szCs w:val="22"/>
        </w:rPr>
        <w:t xml:space="preserve">ffähige Unterlagen nach Ziffer </w:t>
      </w:r>
      <w:r w:rsidR="001604DF">
        <w:rPr>
          <w:rFonts w:ascii="Arial" w:hAnsi="Arial" w:cs="Arial"/>
          <w:sz w:val="22"/>
          <w:szCs w:val="22"/>
        </w:rPr>
        <w:t>1</w:t>
      </w:r>
      <w:r w:rsidR="00D64195" w:rsidRPr="00584A9D">
        <w:rPr>
          <w:rFonts w:ascii="Arial" w:hAnsi="Arial" w:cs="Arial"/>
          <w:sz w:val="22"/>
          <w:szCs w:val="22"/>
        </w:rPr>
        <w:t>.1 über die eingesetzten Beschäftigten bereitzuhalten. Auf Verlangen des Auftraggebers sind ihm diese Unterlagen vorzulegen und als Kopie oder elektronisch zur Verfügung zu stellen. Der Auftragnehmer ist ve</w:t>
      </w:r>
      <w:r w:rsidR="00D64195" w:rsidRPr="00584A9D">
        <w:rPr>
          <w:rFonts w:ascii="Arial" w:hAnsi="Arial" w:cs="Arial"/>
          <w:sz w:val="22"/>
          <w:szCs w:val="22"/>
        </w:rPr>
        <w:t>r</w:t>
      </w:r>
      <w:r w:rsidR="00D64195" w:rsidRPr="00584A9D">
        <w:rPr>
          <w:rFonts w:ascii="Arial" w:hAnsi="Arial" w:cs="Arial"/>
          <w:sz w:val="22"/>
          <w:szCs w:val="22"/>
        </w:rPr>
        <w:t>pflichtet, die Einhaltung dieser Pflicht durch alle beauftragten Nachunternehmen und Verleihunternehm</w:t>
      </w:r>
      <w:r w:rsidR="00D64195">
        <w:rPr>
          <w:rFonts w:ascii="Arial" w:hAnsi="Arial" w:cs="Arial"/>
          <w:sz w:val="22"/>
          <w:szCs w:val="22"/>
        </w:rPr>
        <w:t>en vertraglich sicherzustellen.</w:t>
      </w:r>
    </w:p>
    <w:p w:rsidR="00D64195" w:rsidRDefault="00640DE4" w:rsidP="00D6419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D64195">
        <w:rPr>
          <w:rFonts w:ascii="Arial" w:hAnsi="Arial" w:cs="Arial"/>
          <w:sz w:val="22"/>
          <w:szCs w:val="22"/>
        </w:rPr>
        <w:t>.3</w:t>
      </w:r>
      <w:r w:rsidR="00D64195">
        <w:rPr>
          <w:rFonts w:ascii="Arial" w:hAnsi="Arial" w:cs="Arial"/>
          <w:sz w:val="22"/>
          <w:szCs w:val="22"/>
        </w:rPr>
        <w:tab/>
      </w:r>
      <w:r w:rsidR="00D64195" w:rsidRPr="00584A9D">
        <w:rPr>
          <w:rFonts w:ascii="Arial" w:hAnsi="Arial" w:cs="Arial"/>
          <w:sz w:val="22"/>
          <w:szCs w:val="22"/>
        </w:rPr>
        <w:t>Der Auftraggeber nutzt die ihm als Kopie oder elektronisch zur Verfügung gestellten Unterlage</w:t>
      </w:r>
      <w:r w:rsidR="00D64195">
        <w:rPr>
          <w:rFonts w:ascii="Arial" w:hAnsi="Arial" w:cs="Arial"/>
          <w:sz w:val="22"/>
          <w:szCs w:val="22"/>
        </w:rPr>
        <w:t xml:space="preserve">n nur zu dem Zweck nach Ziffer </w:t>
      </w:r>
      <w:r w:rsidR="001604DF">
        <w:rPr>
          <w:rFonts w:ascii="Arial" w:hAnsi="Arial" w:cs="Arial"/>
          <w:sz w:val="22"/>
          <w:szCs w:val="22"/>
        </w:rPr>
        <w:t>1</w:t>
      </w:r>
      <w:r w:rsidR="00D64195" w:rsidRPr="00584A9D">
        <w:rPr>
          <w:rFonts w:ascii="Arial" w:hAnsi="Arial" w:cs="Arial"/>
          <w:sz w:val="22"/>
          <w:szCs w:val="22"/>
        </w:rPr>
        <w:t>.1 und bewahrt diese höchstens bis zu e</w:t>
      </w:r>
      <w:r w:rsidR="00D64195" w:rsidRPr="00584A9D">
        <w:rPr>
          <w:rFonts w:ascii="Arial" w:hAnsi="Arial" w:cs="Arial"/>
          <w:sz w:val="22"/>
          <w:szCs w:val="22"/>
        </w:rPr>
        <w:t>i</w:t>
      </w:r>
      <w:r w:rsidR="00D64195" w:rsidRPr="00584A9D">
        <w:rPr>
          <w:rFonts w:ascii="Arial" w:hAnsi="Arial" w:cs="Arial"/>
          <w:sz w:val="22"/>
          <w:szCs w:val="22"/>
        </w:rPr>
        <w:t>nem Jahr nach Erfüllung des Vertrags auf.</w:t>
      </w:r>
      <w:r w:rsidR="00A56C02">
        <w:rPr>
          <w:rFonts w:ascii="Arial" w:hAnsi="Arial" w:cs="Arial"/>
          <w:sz w:val="22"/>
          <w:szCs w:val="22"/>
        </w:rPr>
        <w:t>“</w:t>
      </w:r>
    </w:p>
    <w:p w:rsidR="0025731D" w:rsidRDefault="0025731D" w:rsidP="00A67254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06909" w:rsidRPr="00247A31" w:rsidRDefault="0025731D" w:rsidP="00A67254">
      <w:pPr>
        <w:tabs>
          <w:tab w:val="left" w:pos="567"/>
          <w:tab w:val="left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5731D" w:rsidRPr="00215F4E" w:rsidRDefault="00640DE4" w:rsidP="00106909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9282C">
        <w:rPr>
          <w:rFonts w:ascii="Arial" w:hAnsi="Arial" w:cs="Arial"/>
          <w:sz w:val="22"/>
          <w:szCs w:val="22"/>
        </w:rPr>
        <w:t>.</w:t>
      </w:r>
      <w:r w:rsidR="00A9282C">
        <w:rPr>
          <w:rFonts w:ascii="Arial" w:hAnsi="Arial" w:cs="Arial"/>
          <w:sz w:val="22"/>
          <w:szCs w:val="22"/>
        </w:rPr>
        <w:tab/>
      </w:r>
      <w:r w:rsidR="00A9282C" w:rsidRPr="00337DD0">
        <w:rPr>
          <w:rFonts w:ascii="Arial" w:hAnsi="Arial" w:cs="Arial"/>
          <w:sz w:val="22"/>
          <w:szCs w:val="22"/>
          <w:u w:val="single"/>
        </w:rPr>
        <w:t>Vertragsstrafe</w:t>
      </w:r>
      <w:r w:rsidR="00386F7B">
        <w:rPr>
          <w:rFonts w:ascii="Arial" w:hAnsi="Arial" w:cs="Arial"/>
          <w:sz w:val="22"/>
          <w:szCs w:val="22"/>
          <w:u w:val="single"/>
        </w:rPr>
        <w:t xml:space="preserve"> (§ 18 HVTG)</w:t>
      </w:r>
    </w:p>
    <w:p w:rsidR="00212FA4" w:rsidRDefault="00212FA4" w:rsidP="008B2994">
      <w:pPr>
        <w:pStyle w:val="Listenabsatz"/>
        <w:tabs>
          <w:tab w:val="left" w:pos="694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06909" w:rsidRDefault="00106909" w:rsidP="00A672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§ 18 Abs. 1 HVTG soll mit dem Auftragnehmer für den Fall der nicht vertragsg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rechten Erfüllung übernommener Verpflichtungen ein Strafversprechen vereinbart we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den</w:t>
      </w:r>
      <w:r w:rsidR="000512BE">
        <w:rPr>
          <w:rFonts w:ascii="Arial" w:hAnsi="Arial" w:cs="Arial"/>
          <w:sz w:val="22"/>
          <w:szCs w:val="22"/>
        </w:rPr>
        <w:t>.</w:t>
      </w:r>
    </w:p>
    <w:p w:rsidR="000512BE" w:rsidRDefault="000512BE" w:rsidP="00A6725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512BE" w:rsidRDefault="000512BE" w:rsidP="00A67254">
      <w:pPr>
        <w:ind w:left="567"/>
        <w:jc w:val="both"/>
        <w:rPr>
          <w:rFonts w:ascii="Arial" w:hAnsi="Arial" w:cs="Arial"/>
          <w:sz w:val="22"/>
          <w:szCs w:val="22"/>
        </w:rPr>
      </w:pPr>
      <w:r w:rsidRPr="000512BE">
        <w:rPr>
          <w:rFonts w:ascii="Arial" w:hAnsi="Arial" w:cs="Arial"/>
          <w:sz w:val="22"/>
          <w:szCs w:val="22"/>
        </w:rPr>
        <w:t>Zur Sicherung der von den Auftragnehmern übernommenen vertraglichen Pflichten soll als Druckmittel eine Vertragsstrafe vereinbart und bei Verwirkung eingetrieben werden. Diese besteht unabhängig von sonstigen zivilrechtlichen Verpflichtungen (z.B. auf Za</w:t>
      </w:r>
      <w:r w:rsidRPr="000512BE">
        <w:rPr>
          <w:rFonts w:ascii="Arial" w:hAnsi="Arial" w:cs="Arial"/>
          <w:sz w:val="22"/>
          <w:szCs w:val="22"/>
        </w:rPr>
        <w:t>h</w:t>
      </w:r>
      <w:r w:rsidRPr="000512BE">
        <w:rPr>
          <w:rFonts w:ascii="Arial" w:hAnsi="Arial" w:cs="Arial"/>
          <w:sz w:val="22"/>
          <w:szCs w:val="22"/>
        </w:rPr>
        <w:t>lung von Schadensersatz). Die Vorschrift ist eine Soll-Regelung, d.h. der öffentliche Auftraggeber muss die Vertragsstrafe vereinbaren, wenn das zumutbar ist, was von der Beurteilung der Umstände des Einzelfalles abhängt. Das weitere Verfahren ergibt sich aus §§ 341 ff. BGB</w:t>
      </w:r>
      <w:r>
        <w:rPr>
          <w:rFonts w:ascii="Arial" w:hAnsi="Arial" w:cs="Arial"/>
          <w:sz w:val="22"/>
          <w:szCs w:val="22"/>
        </w:rPr>
        <w:t>.</w:t>
      </w:r>
    </w:p>
    <w:p w:rsidR="000512BE" w:rsidRDefault="000512BE" w:rsidP="000512B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C35F0" w:rsidRDefault="00AC35F0" w:rsidP="000512B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Vereinbarung einer Vertragsstrafe wegen eines Verstoßes gegen die Verpflic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tungen aus der Verpflichtungserklärung zu Tariftreue und Mindestentgelt wird folgender Formulierungsvorschlag gemacht:</w:t>
      </w:r>
    </w:p>
    <w:p w:rsidR="00AC35F0" w:rsidRDefault="00AC35F0" w:rsidP="000512BE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512BE" w:rsidRDefault="00AC35F0" w:rsidP="00A67254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8D1CB6" w:rsidRPr="008D1CB6">
        <w:rPr>
          <w:rFonts w:ascii="Arial" w:hAnsi="Arial" w:cs="Arial"/>
          <w:sz w:val="22"/>
          <w:szCs w:val="22"/>
        </w:rPr>
        <w:t>Für jeden schuldhaften Verstoß gegen eine sich aus der Verpflichtungserklärung zu Tariftreue und Mindestentgelt</w:t>
      </w:r>
      <w:r w:rsidR="008D1CB6" w:rsidRPr="008D1CB6">
        <w:rPr>
          <w:rFonts w:ascii="Arial" w:hAnsi="Arial" w:cs="Arial"/>
          <w:b/>
          <w:sz w:val="22"/>
          <w:szCs w:val="22"/>
        </w:rPr>
        <w:t xml:space="preserve"> </w:t>
      </w:r>
      <w:r w:rsidR="008D1CB6" w:rsidRPr="008D1CB6">
        <w:rPr>
          <w:rFonts w:ascii="Arial" w:hAnsi="Arial" w:cs="Arial"/>
          <w:sz w:val="22"/>
          <w:szCs w:val="22"/>
        </w:rPr>
        <w:t>ergebende Verpflichtung hat der Auftragnehmer eine Vertragsstrafe in Höhe von einem Prozent der Nettoauftragssumme zu zahlen.</w:t>
      </w:r>
      <w:r>
        <w:rPr>
          <w:rFonts w:ascii="Arial" w:hAnsi="Arial" w:cs="Arial"/>
          <w:sz w:val="22"/>
          <w:szCs w:val="22"/>
        </w:rPr>
        <w:t>“</w:t>
      </w:r>
    </w:p>
    <w:p w:rsidR="000512BE" w:rsidRDefault="000512BE" w:rsidP="000512BE">
      <w:pPr>
        <w:pStyle w:val="Listenabsatz"/>
        <w:tabs>
          <w:tab w:val="left" w:pos="6946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D1CB6" w:rsidRPr="008D1CB6" w:rsidRDefault="00AC35F0" w:rsidP="000512BE">
      <w:pPr>
        <w:pStyle w:val="Listenabsatz"/>
        <w:tabs>
          <w:tab w:val="left" w:pos="6946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bleibt unbenommen, noch weitere Vertragsstrafen (z. B. wegen Fristüberschreitung) zu vereinbaren. </w:t>
      </w:r>
      <w:r w:rsidR="008D1CB6" w:rsidRPr="008D1CB6">
        <w:rPr>
          <w:rFonts w:ascii="Arial" w:hAnsi="Arial" w:cs="Arial"/>
          <w:sz w:val="22"/>
          <w:szCs w:val="22"/>
        </w:rPr>
        <w:t>Die Vertragsstrafe</w:t>
      </w:r>
      <w:r>
        <w:rPr>
          <w:rFonts w:ascii="Arial" w:hAnsi="Arial" w:cs="Arial"/>
          <w:sz w:val="22"/>
          <w:szCs w:val="22"/>
        </w:rPr>
        <w:t>n sind</w:t>
      </w:r>
      <w:r w:rsidR="008D1CB6" w:rsidRPr="008D1CB6">
        <w:rPr>
          <w:rFonts w:ascii="Arial" w:hAnsi="Arial" w:cs="Arial"/>
          <w:sz w:val="22"/>
          <w:szCs w:val="22"/>
        </w:rPr>
        <w:t xml:space="preserve"> insgesamt auf 5 % der Nettoauftragssumme begrenzt. </w:t>
      </w:r>
    </w:p>
    <w:p w:rsidR="008D1CB6" w:rsidRDefault="008D1CB6" w:rsidP="000512BE">
      <w:pPr>
        <w:pStyle w:val="Listenabsatz"/>
        <w:tabs>
          <w:tab w:val="left" w:pos="694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06909" w:rsidRDefault="00106909" w:rsidP="008B2994">
      <w:pPr>
        <w:pStyle w:val="Listenabsatz"/>
        <w:tabs>
          <w:tab w:val="left" w:pos="694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12FA4" w:rsidRPr="00212FA4" w:rsidRDefault="000A33CC" w:rsidP="00106909">
      <w:pPr>
        <w:pStyle w:val="Listenabsatz"/>
        <w:tabs>
          <w:tab w:val="left" w:pos="567"/>
          <w:tab w:val="left" w:pos="6946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3</w:t>
      </w:r>
      <w:r w:rsidR="00C324AB">
        <w:rPr>
          <w:rFonts w:ascii="Arial" w:hAnsi="Arial" w:cs="Arial"/>
          <w:sz w:val="22"/>
          <w:szCs w:val="22"/>
        </w:rPr>
        <w:t>.</w:t>
      </w:r>
      <w:r w:rsidR="00C324AB">
        <w:rPr>
          <w:rFonts w:ascii="Arial" w:hAnsi="Arial" w:cs="Arial"/>
          <w:sz w:val="22"/>
          <w:szCs w:val="22"/>
        </w:rPr>
        <w:tab/>
      </w:r>
      <w:r w:rsidR="00582660" w:rsidRPr="00212FA4">
        <w:rPr>
          <w:rFonts w:ascii="Arial" w:hAnsi="Arial" w:cs="Arial"/>
          <w:sz w:val="22"/>
          <w:szCs w:val="22"/>
          <w:u w:val="single"/>
        </w:rPr>
        <w:t>Zahlung</w:t>
      </w:r>
      <w:r w:rsidR="00386F7B">
        <w:rPr>
          <w:rFonts w:ascii="Arial" w:hAnsi="Arial" w:cs="Arial"/>
          <w:sz w:val="22"/>
          <w:szCs w:val="22"/>
          <w:u w:val="single"/>
        </w:rPr>
        <w:t>en (§ 19 HVTG)</w:t>
      </w:r>
    </w:p>
    <w:p w:rsidR="00212FA4" w:rsidRDefault="00212FA4" w:rsidP="00212FA4">
      <w:pPr>
        <w:pStyle w:val="Listenabsatz"/>
        <w:tabs>
          <w:tab w:val="left" w:pos="694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106909" w:rsidRDefault="000A33CC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216DA">
        <w:rPr>
          <w:rFonts w:ascii="Arial" w:hAnsi="Arial" w:cs="Arial"/>
          <w:sz w:val="22"/>
          <w:szCs w:val="22"/>
        </w:rPr>
        <w:t>.</w:t>
      </w:r>
      <w:r w:rsidR="00106909">
        <w:rPr>
          <w:rFonts w:ascii="Arial" w:hAnsi="Arial" w:cs="Arial"/>
          <w:sz w:val="22"/>
          <w:szCs w:val="22"/>
        </w:rPr>
        <w:t>1</w:t>
      </w:r>
      <w:r w:rsidR="00106909">
        <w:rPr>
          <w:rFonts w:ascii="Arial" w:hAnsi="Arial" w:cs="Arial"/>
          <w:sz w:val="22"/>
          <w:szCs w:val="22"/>
        </w:rPr>
        <w:tab/>
      </w:r>
      <w:r w:rsidR="00A56C02">
        <w:rPr>
          <w:rFonts w:ascii="Arial" w:hAnsi="Arial" w:cs="Arial"/>
          <w:sz w:val="22"/>
          <w:szCs w:val="22"/>
        </w:rPr>
        <w:t>„</w:t>
      </w:r>
      <w:r w:rsidR="00106909" w:rsidRPr="00342E41">
        <w:rPr>
          <w:rFonts w:ascii="Arial" w:hAnsi="Arial" w:cs="Arial"/>
          <w:sz w:val="22"/>
          <w:szCs w:val="22"/>
        </w:rPr>
        <w:t>Die fällige Zahlung wird unverzüglich, spätestens 30 Kalendertage nach Zugang der prüffähigen Rechnung ausgeführt. Die prüffähigen Rechnungen sind auf den Za</w:t>
      </w:r>
      <w:r w:rsidR="00106909" w:rsidRPr="00342E41">
        <w:rPr>
          <w:rFonts w:ascii="Arial" w:hAnsi="Arial" w:cs="Arial"/>
          <w:sz w:val="22"/>
          <w:szCs w:val="22"/>
        </w:rPr>
        <w:t>h</w:t>
      </w:r>
      <w:r w:rsidR="00106909" w:rsidRPr="00342E41">
        <w:rPr>
          <w:rFonts w:ascii="Arial" w:hAnsi="Arial" w:cs="Arial"/>
          <w:sz w:val="22"/>
          <w:szCs w:val="22"/>
        </w:rPr>
        <w:t>lungspflichtigen auszustellen. Aktenzeichen sind auf dem Antwortschreiben, der Ve</w:t>
      </w:r>
      <w:r w:rsidR="00106909" w:rsidRPr="00342E41">
        <w:rPr>
          <w:rFonts w:ascii="Arial" w:hAnsi="Arial" w:cs="Arial"/>
          <w:sz w:val="22"/>
          <w:szCs w:val="22"/>
        </w:rPr>
        <w:t>r</w:t>
      </w:r>
      <w:r w:rsidR="00106909" w:rsidRPr="00342E41">
        <w:rPr>
          <w:rFonts w:ascii="Arial" w:hAnsi="Arial" w:cs="Arial"/>
          <w:sz w:val="22"/>
          <w:szCs w:val="22"/>
        </w:rPr>
        <w:t>sandanzeige sowie den Rechnungen anzugeben.</w:t>
      </w:r>
    </w:p>
    <w:p w:rsidR="00106909" w:rsidRDefault="000A33CC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>.2</w:t>
      </w:r>
      <w:r w:rsidR="00106909">
        <w:rPr>
          <w:rFonts w:ascii="Arial" w:hAnsi="Arial" w:cs="Arial"/>
          <w:sz w:val="22"/>
          <w:szCs w:val="22"/>
        </w:rPr>
        <w:tab/>
      </w:r>
      <w:r w:rsidR="00106909" w:rsidRPr="00342E41">
        <w:rPr>
          <w:rFonts w:ascii="Arial" w:hAnsi="Arial" w:cs="Arial"/>
          <w:sz w:val="22"/>
          <w:szCs w:val="22"/>
        </w:rPr>
        <w:t>Abschlagszahlungen werden in der Höhe des Wertes nachgewiesener vertragsgem</w:t>
      </w:r>
      <w:r w:rsidR="00106909" w:rsidRPr="00342E41">
        <w:rPr>
          <w:rFonts w:ascii="Arial" w:hAnsi="Arial" w:cs="Arial"/>
          <w:sz w:val="22"/>
          <w:szCs w:val="22"/>
        </w:rPr>
        <w:t>ä</w:t>
      </w:r>
      <w:r w:rsidR="00106909" w:rsidRPr="00342E41">
        <w:rPr>
          <w:rFonts w:ascii="Arial" w:hAnsi="Arial" w:cs="Arial"/>
          <w:sz w:val="22"/>
          <w:szCs w:val="22"/>
        </w:rPr>
        <w:t xml:space="preserve">ßer Leistungen einschließlich ausgewiesener Umsatzsteuer gewährt. </w:t>
      </w:r>
    </w:p>
    <w:p w:rsidR="00106909" w:rsidRDefault="000A33CC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>.3</w:t>
      </w:r>
      <w:r w:rsidR="00106909">
        <w:rPr>
          <w:rFonts w:ascii="Arial" w:hAnsi="Arial" w:cs="Arial"/>
          <w:sz w:val="22"/>
          <w:szCs w:val="22"/>
        </w:rPr>
        <w:tab/>
      </w:r>
      <w:r w:rsidR="00106909" w:rsidRPr="00342E41">
        <w:rPr>
          <w:rFonts w:ascii="Arial" w:hAnsi="Arial" w:cs="Arial"/>
          <w:sz w:val="22"/>
          <w:szCs w:val="22"/>
        </w:rPr>
        <w:t>Bei in sich abgeschlossenen Teilen einer vertragsgemäßen Leistung werden Teila</w:t>
      </w:r>
      <w:r w:rsidR="00106909" w:rsidRPr="00342E41">
        <w:rPr>
          <w:rFonts w:ascii="Arial" w:hAnsi="Arial" w:cs="Arial"/>
          <w:sz w:val="22"/>
          <w:szCs w:val="22"/>
        </w:rPr>
        <w:t>b</w:t>
      </w:r>
      <w:r w:rsidR="00106909" w:rsidRPr="00342E41">
        <w:rPr>
          <w:rFonts w:ascii="Arial" w:hAnsi="Arial" w:cs="Arial"/>
          <w:sz w:val="22"/>
          <w:szCs w:val="22"/>
        </w:rPr>
        <w:t>nahmen ohne Rücksicht auf die Vollendung der übrigen Leistungen durchgeführt, en</w:t>
      </w:r>
      <w:r w:rsidR="00106909" w:rsidRPr="00342E41">
        <w:rPr>
          <w:rFonts w:ascii="Arial" w:hAnsi="Arial" w:cs="Arial"/>
          <w:sz w:val="22"/>
          <w:szCs w:val="22"/>
        </w:rPr>
        <w:t>d</w:t>
      </w:r>
      <w:r w:rsidR="00106909" w:rsidRPr="00342E41">
        <w:rPr>
          <w:rFonts w:ascii="Arial" w:hAnsi="Arial" w:cs="Arial"/>
          <w:sz w:val="22"/>
          <w:szCs w:val="22"/>
        </w:rPr>
        <w:t>gültig festgestellt und bezahlt.</w:t>
      </w:r>
    </w:p>
    <w:p w:rsidR="00106909" w:rsidRDefault="000A33CC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>.4</w:t>
      </w:r>
      <w:r w:rsidR="00106909">
        <w:rPr>
          <w:rFonts w:ascii="Arial" w:hAnsi="Arial" w:cs="Arial"/>
          <w:sz w:val="22"/>
          <w:szCs w:val="22"/>
        </w:rPr>
        <w:tab/>
      </w:r>
      <w:r w:rsidR="00106909" w:rsidRPr="00342E41">
        <w:rPr>
          <w:rFonts w:ascii="Arial" w:hAnsi="Arial" w:cs="Arial"/>
          <w:sz w:val="22"/>
          <w:szCs w:val="22"/>
        </w:rPr>
        <w:t>Der Auftragnehmer ist verpflichtet, bezüglich der Zahlungsfristen als auch der Gewä</w:t>
      </w:r>
      <w:r w:rsidR="00106909" w:rsidRPr="00342E41">
        <w:rPr>
          <w:rFonts w:ascii="Arial" w:hAnsi="Arial" w:cs="Arial"/>
          <w:sz w:val="22"/>
          <w:szCs w:val="22"/>
        </w:rPr>
        <w:t>h</w:t>
      </w:r>
      <w:r w:rsidR="00106909" w:rsidRPr="00342E41">
        <w:rPr>
          <w:rFonts w:ascii="Arial" w:hAnsi="Arial" w:cs="Arial"/>
          <w:sz w:val="22"/>
          <w:szCs w:val="22"/>
        </w:rPr>
        <w:t>rung von Abschlagszahlungen und Teilzahlungen entsprechen</w:t>
      </w:r>
      <w:r w:rsidR="00106909">
        <w:rPr>
          <w:rFonts w:ascii="Arial" w:hAnsi="Arial" w:cs="Arial"/>
          <w:sz w:val="22"/>
          <w:szCs w:val="22"/>
        </w:rPr>
        <w:t>d den Regelungen in Zi</w:t>
      </w:r>
      <w:r w:rsidR="00106909">
        <w:rPr>
          <w:rFonts w:ascii="Arial" w:hAnsi="Arial" w:cs="Arial"/>
          <w:sz w:val="22"/>
          <w:szCs w:val="22"/>
        </w:rPr>
        <w:t>f</w:t>
      </w:r>
      <w:r w:rsidR="00106909">
        <w:rPr>
          <w:rFonts w:ascii="Arial" w:hAnsi="Arial" w:cs="Arial"/>
          <w:sz w:val="22"/>
          <w:szCs w:val="22"/>
        </w:rPr>
        <w:t xml:space="preserve">fern </w:t>
      </w: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 xml:space="preserve">.1 bis </w:t>
      </w: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>.3</w:t>
      </w:r>
      <w:r w:rsidR="00106909" w:rsidRPr="00342E41">
        <w:rPr>
          <w:rFonts w:ascii="Arial" w:hAnsi="Arial" w:cs="Arial"/>
          <w:sz w:val="22"/>
          <w:szCs w:val="22"/>
        </w:rPr>
        <w:t xml:space="preserve"> gegenüber seinen Nachunternehmen und Verleihunternehmen zu ve</w:t>
      </w:r>
      <w:r w:rsidR="00106909" w:rsidRPr="00342E41">
        <w:rPr>
          <w:rFonts w:ascii="Arial" w:hAnsi="Arial" w:cs="Arial"/>
          <w:sz w:val="22"/>
          <w:szCs w:val="22"/>
        </w:rPr>
        <w:t>r</w:t>
      </w:r>
      <w:r w:rsidR="00106909" w:rsidRPr="00342E41">
        <w:rPr>
          <w:rFonts w:ascii="Arial" w:hAnsi="Arial" w:cs="Arial"/>
          <w:sz w:val="22"/>
          <w:szCs w:val="22"/>
        </w:rPr>
        <w:t>fahren.</w:t>
      </w:r>
    </w:p>
    <w:p w:rsidR="00106909" w:rsidRDefault="000A33CC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>.5</w:t>
      </w:r>
      <w:r w:rsidR="00106909">
        <w:rPr>
          <w:rFonts w:ascii="Arial" w:hAnsi="Arial" w:cs="Arial"/>
          <w:sz w:val="22"/>
          <w:szCs w:val="22"/>
        </w:rPr>
        <w:tab/>
      </w:r>
      <w:r w:rsidR="00106909" w:rsidRPr="00342E41">
        <w:rPr>
          <w:rFonts w:ascii="Arial" w:hAnsi="Arial" w:cs="Arial"/>
          <w:sz w:val="22"/>
          <w:szCs w:val="22"/>
        </w:rPr>
        <w:t>Der Auftraggeber ist berechtigt, zur Erfüllung der sich aus dem Vertrag ergebenden Verpflichtungen Zahlungen unmittelbar an die Gläubiger des Auftragnehmers (Lief</w:t>
      </w:r>
      <w:r w:rsidR="00106909" w:rsidRPr="00342E41">
        <w:rPr>
          <w:rFonts w:ascii="Arial" w:hAnsi="Arial" w:cs="Arial"/>
          <w:sz w:val="22"/>
          <w:szCs w:val="22"/>
        </w:rPr>
        <w:t>e</w:t>
      </w:r>
      <w:r w:rsidR="00106909" w:rsidRPr="00342E41">
        <w:rPr>
          <w:rFonts w:ascii="Arial" w:hAnsi="Arial" w:cs="Arial"/>
          <w:sz w:val="22"/>
          <w:szCs w:val="22"/>
        </w:rPr>
        <w:t>rant, Nachunternehmer, Verleihunternehmen) zu leisten, soweit diese an der Ausfü</w:t>
      </w:r>
      <w:r w:rsidR="00106909" w:rsidRPr="00342E41">
        <w:rPr>
          <w:rFonts w:ascii="Arial" w:hAnsi="Arial" w:cs="Arial"/>
          <w:sz w:val="22"/>
          <w:szCs w:val="22"/>
        </w:rPr>
        <w:t>h</w:t>
      </w:r>
      <w:r w:rsidR="00106909" w:rsidRPr="00342E41">
        <w:rPr>
          <w:rFonts w:ascii="Arial" w:hAnsi="Arial" w:cs="Arial"/>
          <w:sz w:val="22"/>
          <w:szCs w:val="22"/>
        </w:rPr>
        <w:t>rung der vertraglichen Leistung des Auftragnehmers aufgrund eines mit diesem abg</w:t>
      </w:r>
      <w:r w:rsidR="00106909" w:rsidRPr="00342E41">
        <w:rPr>
          <w:rFonts w:ascii="Arial" w:hAnsi="Arial" w:cs="Arial"/>
          <w:sz w:val="22"/>
          <w:szCs w:val="22"/>
        </w:rPr>
        <w:t>e</w:t>
      </w:r>
      <w:r w:rsidR="00106909" w:rsidRPr="00342E41">
        <w:rPr>
          <w:rFonts w:ascii="Arial" w:hAnsi="Arial" w:cs="Arial"/>
          <w:sz w:val="22"/>
          <w:szCs w:val="22"/>
        </w:rPr>
        <w:t>schlossenen Vertrages beteiligt sind, diese wegen Zahlungsverzugs des Auftragne</w:t>
      </w:r>
      <w:r w:rsidR="00106909" w:rsidRPr="00342E41">
        <w:rPr>
          <w:rFonts w:ascii="Arial" w:hAnsi="Arial" w:cs="Arial"/>
          <w:sz w:val="22"/>
          <w:szCs w:val="22"/>
        </w:rPr>
        <w:t>h</w:t>
      </w:r>
      <w:r w:rsidR="00106909" w:rsidRPr="00342E41">
        <w:rPr>
          <w:rFonts w:ascii="Arial" w:hAnsi="Arial" w:cs="Arial"/>
          <w:sz w:val="22"/>
          <w:szCs w:val="22"/>
        </w:rPr>
        <w:t>mers die Fortsetzung ihrer Leistung zu Recht zu verweigern und die Direktzahlung die Fortsetzung der Leistungen sicherstellen soll.</w:t>
      </w:r>
    </w:p>
    <w:p w:rsidR="00106909" w:rsidRDefault="00106909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42E41">
        <w:rPr>
          <w:rFonts w:ascii="Arial" w:hAnsi="Arial" w:cs="Arial"/>
          <w:sz w:val="22"/>
          <w:szCs w:val="22"/>
        </w:rPr>
        <w:t>Erklärt sich der Auftragnehmer auf Verlangen des Auftraggebers innerhalb einer von diesem gesetzten angemessenen Frist nicht darüber, ob und inwieweit er die Ford</w:t>
      </w:r>
      <w:r w:rsidRPr="00342E41">
        <w:rPr>
          <w:rFonts w:ascii="Arial" w:hAnsi="Arial" w:cs="Arial"/>
          <w:sz w:val="22"/>
          <w:szCs w:val="22"/>
        </w:rPr>
        <w:t>e</w:t>
      </w:r>
      <w:r w:rsidRPr="00342E41">
        <w:rPr>
          <w:rFonts w:ascii="Arial" w:hAnsi="Arial" w:cs="Arial"/>
          <w:sz w:val="22"/>
          <w:szCs w:val="22"/>
        </w:rPr>
        <w:t>rung seines Gläubigers anerkennt und legt er bei Nichtanerkennung keinen entspr</w:t>
      </w:r>
      <w:r w:rsidRPr="00342E41">
        <w:rPr>
          <w:rFonts w:ascii="Arial" w:hAnsi="Arial" w:cs="Arial"/>
          <w:sz w:val="22"/>
          <w:szCs w:val="22"/>
        </w:rPr>
        <w:t>e</w:t>
      </w:r>
      <w:r w:rsidRPr="00342E41">
        <w:rPr>
          <w:rFonts w:ascii="Arial" w:hAnsi="Arial" w:cs="Arial"/>
          <w:sz w:val="22"/>
          <w:szCs w:val="22"/>
        </w:rPr>
        <w:t>chenden Nachweis vor, so gelten die Voraussetzungen für die Direktzahlung als ane</w:t>
      </w:r>
      <w:r w:rsidRPr="00342E41">
        <w:rPr>
          <w:rFonts w:ascii="Arial" w:hAnsi="Arial" w:cs="Arial"/>
          <w:sz w:val="22"/>
          <w:szCs w:val="22"/>
        </w:rPr>
        <w:t>r</w:t>
      </w:r>
      <w:r w:rsidRPr="00342E41">
        <w:rPr>
          <w:rFonts w:ascii="Arial" w:hAnsi="Arial" w:cs="Arial"/>
          <w:sz w:val="22"/>
          <w:szCs w:val="22"/>
        </w:rPr>
        <w:t>kannt. Entsprechendes gilt bei Teilleistungen.</w:t>
      </w:r>
    </w:p>
    <w:p w:rsidR="00106909" w:rsidRDefault="000A33CC" w:rsidP="00106909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06909">
        <w:rPr>
          <w:rFonts w:ascii="Arial" w:hAnsi="Arial" w:cs="Arial"/>
          <w:sz w:val="22"/>
          <w:szCs w:val="22"/>
        </w:rPr>
        <w:t>.6</w:t>
      </w:r>
      <w:r w:rsidR="00106909">
        <w:rPr>
          <w:rFonts w:ascii="Arial" w:hAnsi="Arial" w:cs="Arial"/>
          <w:sz w:val="22"/>
          <w:szCs w:val="22"/>
        </w:rPr>
        <w:tab/>
      </w:r>
      <w:r w:rsidR="00106909" w:rsidRPr="00342E41">
        <w:rPr>
          <w:rFonts w:ascii="Arial" w:hAnsi="Arial" w:cs="Arial"/>
          <w:sz w:val="22"/>
          <w:szCs w:val="22"/>
        </w:rPr>
        <w:t>Der Anspruch auf Verzugszinsen des Auftragnehmers (§§</w:t>
      </w:r>
      <w:r w:rsidR="00B55CBB">
        <w:rPr>
          <w:rFonts w:ascii="Arial" w:hAnsi="Arial" w:cs="Arial"/>
          <w:sz w:val="22"/>
          <w:szCs w:val="22"/>
        </w:rPr>
        <w:t> </w:t>
      </w:r>
      <w:r w:rsidR="00106909" w:rsidRPr="00342E41">
        <w:rPr>
          <w:rFonts w:ascii="Arial" w:hAnsi="Arial" w:cs="Arial"/>
          <w:sz w:val="22"/>
          <w:szCs w:val="22"/>
        </w:rPr>
        <w:t>286, 288</w:t>
      </w:r>
      <w:r w:rsidR="00B55CBB">
        <w:rPr>
          <w:rFonts w:ascii="Arial" w:hAnsi="Arial" w:cs="Arial"/>
          <w:sz w:val="22"/>
          <w:szCs w:val="22"/>
        </w:rPr>
        <w:t> </w:t>
      </w:r>
      <w:r w:rsidR="00106909" w:rsidRPr="00342E41">
        <w:rPr>
          <w:rFonts w:ascii="Arial" w:hAnsi="Arial" w:cs="Arial"/>
          <w:sz w:val="22"/>
          <w:szCs w:val="22"/>
        </w:rPr>
        <w:t>BGB) ist nicht ei</w:t>
      </w:r>
      <w:r w:rsidR="00106909" w:rsidRPr="00342E41">
        <w:rPr>
          <w:rFonts w:ascii="Arial" w:hAnsi="Arial" w:cs="Arial"/>
          <w:sz w:val="22"/>
          <w:szCs w:val="22"/>
        </w:rPr>
        <w:t>n</w:t>
      </w:r>
      <w:r w:rsidR="00106909" w:rsidRPr="00342E41">
        <w:rPr>
          <w:rFonts w:ascii="Arial" w:hAnsi="Arial" w:cs="Arial"/>
          <w:sz w:val="22"/>
          <w:szCs w:val="22"/>
        </w:rPr>
        <w:t>schränkbar oder abdingbar. Dies gilt auch für die Ansprüche auf Verzugszinsen in den Rechtsverhältnissen zwischen Auftragnehmer und den Nachunternehmen, Verleihu</w:t>
      </w:r>
      <w:r w:rsidR="00106909" w:rsidRPr="00342E41">
        <w:rPr>
          <w:rFonts w:ascii="Arial" w:hAnsi="Arial" w:cs="Arial"/>
          <w:sz w:val="22"/>
          <w:szCs w:val="22"/>
        </w:rPr>
        <w:t>n</w:t>
      </w:r>
      <w:r w:rsidR="00106909" w:rsidRPr="00342E41">
        <w:rPr>
          <w:rFonts w:ascii="Arial" w:hAnsi="Arial" w:cs="Arial"/>
          <w:sz w:val="22"/>
          <w:szCs w:val="22"/>
        </w:rPr>
        <w:t>ternehmen sowie Lieferanten.</w:t>
      </w:r>
      <w:r w:rsidR="00A56C02">
        <w:rPr>
          <w:rFonts w:ascii="Arial" w:hAnsi="Arial" w:cs="Arial"/>
          <w:sz w:val="22"/>
          <w:szCs w:val="22"/>
        </w:rPr>
        <w:t>“</w:t>
      </w:r>
    </w:p>
    <w:p w:rsidR="00212FA4" w:rsidRDefault="00212FA4" w:rsidP="00212FA4">
      <w:pPr>
        <w:pStyle w:val="Listenabsatz"/>
        <w:tabs>
          <w:tab w:val="left" w:pos="6946"/>
        </w:tabs>
        <w:ind w:left="426"/>
        <w:jc w:val="both"/>
        <w:rPr>
          <w:rFonts w:ascii="Arial" w:hAnsi="Arial" w:cs="Arial"/>
          <w:sz w:val="22"/>
          <w:szCs w:val="22"/>
        </w:rPr>
      </w:pPr>
    </w:p>
    <w:sectPr w:rsidR="00212FA4" w:rsidSect="00C32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51" w:rsidRDefault="00632851" w:rsidP="00C324AB">
      <w:r>
        <w:separator/>
      </w:r>
    </w:p>
  </w:endnote>
  <w:endnote w:type="continuationSeparator" w:id="0">
    <w:p w:rsidR="00632851" w:rsidRDefault="00632851" w:rsidP="00C3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ida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0" w:rsidRDefault="002C49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0" w:rsidRDefault="002C495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0" w:rsidRDefault="002C49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51" w:rsidRDefault="00632851" w:rsidP="00C324AB">
      <w:r>
        <w:separator/>
      </w:r>
    </w:p>
  </w:footnote>
  <w:footnote w:type="continuationSeparator" w:id="0">
    <w:p w:rsidR="00632851" w:rsidRDefault="00632851" w:rsidP="00C3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0" w:rsidRDefault="002C495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0" w:rsidRDefault="002C495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0" w:rsidRDefault="002C495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9F8"/>
    <w:multiLevelType w:val="hybridMultilevel"/>
    <w:tmpl w:val="3170120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BF14C5"/>
    <w:multiLevelType w:val="hybridMultilevel"/>
    <w:tmpl w:val="170690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35C25"/>
    <w:multiLevelType w:val="hybridMultilevel"/>
    <w:tmpl w:val="8BDCF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3A"/>
    <w:rsid w:val="0002499B"/>
    <w:rsid w:val="00047AC3"/>
    <w:rsid w:val="000512BE"/>
    <w:rsid w:val="00083DFF"/>
    <w:rsid w:val="000A33CC"/>
    <w:rsid w:val="000D01D5"/>
    <w:rsid w:val="000D19C0"/>
    <w:rsid w:val="000D1D83"/>
    <w:rsid w:val="000E6A01"/>
    <w:rsid w:val="00106909"/>
    <w:rsid w:val="001604DF"/>
    <w:rsid w:val="001829BD"/>
    <w:rsid w:val="001C13A8"/>
    <w:rsid w:val="001D58D5"/>
    <w:rsid w:val="001D5FAD"/>
    <w:rsid w:val="00212FA4"/>
    <w:rsid w:val="00215F4E"/>
    <w:rsid w:val="0025731D"/>
    <w:rsid w:val="002C4950"/>
    <w:rsid w:val="003003CD"/>
    <w:rsid w:val="00327166"/>
    <w:rsid w:val="00337DD0"/>
    <w:rsid w:val="003507D2"/>
    <w:rsid w:val="003606E5"/>
    <w:rsid w:val="00381F2C"/>
    <w:rsid w:val="00386F7B"/>
    <w:rsid w:val="00391F02"/>
    <w:rsid w:val="003B5572"/>
    <w:rsid w:val="003D192B"/>
    <w:rsid w:val="00413C74"/>
    <w:rsid w:val="004544D2"/>
    <w:rsid w:val="0046283B"/>
    <w:rsid w:val="004965BC"/>
    <w:rsid w:val="004B367E"/>
    <w:rsid w:val="00555975"/>
    <w:rsid w:val="00557A27"/>
    <w:rsid w:val="00570EB8"/>
    <w:rsid w:val="005768CE"/>
    <w:rsid w:val="00582660"/>
    <w:rsid w:val="00632851"/>
    <w:rsid w:val="00636C33"/>
    <w:rsid w:val="00640DE4"/>
    <w:rsid w:val="006438F6"/>
    <w:rsid w:val="00650B14"/>
    <w:rsid w:val="006632A2"/>
    <w:rsid w:val="00693B23"/>
    <w:rsid w:val="006F0828"/>
    <w:rsid w:val="00724B2A"/>
    <w:rsid w:val="007432B1"/>
    <w:rsid w:val="0075717C"/>
    <w:rsid w:val="007729DC"/>
    <w:rsid w:val="007804EE"/>
    <w:rsid w:val="007A46BC"/>
    <w:rsid w:val="008051DD"/>
    <w:rsid w:val="0081242E"/>
    <w:rsid w:val="008B2994"/>
    <w:rsid w:val="008B4E4A"/>
    <w:rsid w:val="008C0C66"/>
    <w:rsid w:val="008C32B4"/>
    <w:rsid w:val="008C47CD"/>
    <w:rsid w:val="008D1CB6"/>
    <w:rsid w:val="00911AE3"/>
    <w:rsid w:val="0095538D"/>
    <w:rsid w:val="009710C7"/>
    <w:rsid w:val="00A11595"/>
    <w:rsid w:val="00A216DA"/>
    <w:rsid w:val="00A56C02"/>
    <w:rsid w:val="00A67254"/>
    <w:rsid w:val="00A71F7D"/>
    <w:rsid w:val="00A9282C"/>
    <w:rsid w:val="00AA77B2"/>
    <w:rsid w:val="00AC35F0"/>
    <w:rsid w:val="00AD7DC8"/>
    <w:rsid w:val="00B24607"/>
    <w:rsid w:val="00B30F3A"/>
    <w:rsid w:val="00B55CBB"/>
    <w:rsid w:val="00BB447F"/>
    <w:rsid w:val="00C12B1C"/>
    <w:rsid w:val="00C24478"/>
    <w:rsid w:val="00C26539"/>
    <w:rsid w:val="00C324AB"/>
    <w:rsid w:val="00C42A4D"/>
    <w:rsid w:val="00C527FD"/>
    <w:rsid w:val="00C745AC"/>
    <w:rsid w:val="00C7679D"/>
    <w:rsid w:val="00C90764"/>
    <w:rsid w:val="00CE5FFE"/>
    <w:rsid w:val="00D3098B"/>
    <w:rsid w:val="00D64195"/>
    <w:rsid w:val="00D863CD"/>
    <w:rsid w:val="00DA2011"/>
    <w:rsid w:val="00E16888"/>
    <w:rsid w:val="00E31201"/>
    <w:rsid w:val="00E57919"/>
    <w:rsid w:val="00E610D6"/>
    <w:rsid w:val="00EC10AF"/>
    <w:rsid w:val="00EC473E"/>
    <w:rsid w:val="00EF3AA9"/>
    <w:rsid w:val="00EF75EF"/>
    <w:rsid w:val="00F150BC"/>
    <w:rsid w:val="00F347AA"/>
    <w:rsid w:val="00FD6C6F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C66"/>
    <w:pPr>
      <w:ind w:left="720"/>
      <w:contextualSpacing/>
    </w:pPr>
  </w:style>
  <w:style w:type="character" w:styleId="Kommentarzeichen">
    <w:name w:val="annotation reference"/>
    <w:basedOn w:val="Absatz-Standardschriftart"/>
    <w:rsid w:val="008B4E4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4E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B4E4A"/>
  </w:style>
  <w:style w:type="paragraph" w:styleId="Kommentarthema">
    <w:name w:val="annotation subject"/>
    <w:basedOn w:val="Kommentartext"/>
    <w:next w:val="Kommentartext"/>
    <w:link w:val="KommentarthemaZchn"/>
    <w:rsid w:val="008B4E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4E4A"/>
    <w:rPr>
      <w:b/>
      <w:bCs/>
    </w:rPr>
  </w:style>
  <w:style w:type="paragraph" w:styleId="Sprechblasentext">
    <w:name w:val="Balloon Text"/>
    <w:basedOn w:val="Standard"/>
    <w:link w:val="SprechblasentextZchn"/>
    <w:rsid w:val="008B4E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4E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24AB"/>
    <w:rPr>
      <w:sz w:val="24"/>
      <w:szCs w:val="24"/>
    </w:rPr>
  </w:style>
  <w:style w:type="paragraph" w:styleId="Fuzeile">
    <w:name w:val="footer"/>
    <w:basedOn w:val="Standard"/>
    <w:link w:val="FuzeileZchn"/>
    <w:rsid w:val="00C3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32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C66"/>
    <w:pPr>
      <w:ind w:left="720"/>
      <w:contextualSpacing/>
    </w:pPr>
  </w:style>
  <w:style w:type="character" w:styleId="Kommentarzeichen">
    <w:name w:val="annotation reference"/>
    <w:basedOn w:val="Absatz-Standardschriftart"/>
    <w:rsid w:val="008B4E4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B4E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B4E4A"/>
  </w:style>
  <w:style w:type="paragraph" w:styleId="Kommentarthema">
    <w:name w:val="annotation subject"/>
    <w:basedOn w:val="Kommentartext"/>
    <w:next w:val="Kommentartext"/>
    <w:link w:val="KommentarthemaZchn"/>
    <w:rsid w:val="008B4E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B4E4A"/>
    <w:rPr>
      <w:b/>
      <w:bCs/>
    </w:rPr>
  </w:style>
  <w:style w:type="paragraph" w:styleId="Sprechblasentext">
    <w:name w:val="Balloon Text"/>
    <w:basedOn w:val="Standard"/>
    <w:link w:val="SprechblasentextZchn"/>
    <w:rsid w:val="008B4E4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B4E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24AB"/>
    <w:rPr>
      <w:sz w:val="24"/>
      <w:szCs w:val="24"/>
    </w:rPr>
  </w:style>
  <w:style w:type="paragraph" w:styleId="Fuzeile">
    <w:name w:val="footer"/>
    <w:basedOn w:val="Standard"/>
    <w:link w:val="FuzeileZchn"/>
    <w:rsid w:val="00C3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32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3A6DFB4B.dotm</Template>
  <TotalTime>0</TotalTime>
  <Pages>4</Pages>
  <Words>1162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2015-09-01T08:07:00Z</dcterms:created>
  <dcterms:modified xsi:type="dcterms:W3CDTF">2015-09-01T08:07:00Z</dcterms:modified>
</cp:coreProperties>
</file>